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177A" w14:textId="77777777" w:rsidR="00204400" w:rsidRDefault="00204400" w:rsidP="00F34A18">
      <w:pPr>
        <w:pStyle w:val="Subtitle"/>
        <w:jc w:val="center"/>
        <w:rPr>
          <w:rFonts w:ascii="IBM Plex Sans" w:hAnsi="IBM Plex Sans"/>
          <w:b/>
          <w:bCs/>
          <w:color w:val="0070C0"/>
          <w:sz w:val="56"/>
          <w:szCs w:val="56"/>
        </w:rPr>
      </w:pPr>
    </w:p>
    <w:p w14:paraId="3692FA23" w14:textId="77777777" w:rsidR="00204400" w:rsidRDefault="00204400" w:rsidP="00F34A18">
      <w:pPr>
        <w:pStyle w:val="Subtitle"/>
        <w:jc w:val="center"/>
        <w:rPr>
          <w:rFonts w:ascii="IBM Plex Sans" w:hAnsi="IBM Plex Sans"/>
          <w:b/>
          <w:bCs/>
          <w:color w:val="0070C0"/>
          <w:sz w:val="56"/>
          <w:szCs w:val="56"/>
        </w:rPr>
      </w:pPr>
    </w:p>
    <w:p w14:paraId="0256FA19" w14:textId="77777777" w:rsidR="00204400" w:rsidRDefault="00204400" w:rsidP="00F34A18">
      <w:pPr>
        <w:pStyle w:val="Subtitle"/>
        <w:jc w:val="center"/>
        <w:rPr>
          <w:rFonts w:ascii="IBM Plex Sans" w:hAnsi="IBM Plex Sans"/>
          <w:b/>
          <w:bCs/>
          <w:color w:val="0070C0"/>
          <w:sz w:val="56"/>
          <w:szCs w:val="56"/>
        </w:rPr>
      </w:pPr>
    </w:p>
    <w:p w14:paraId="74039233" w14:textId="77777777" w:rsidR="00204400" w:rsidRDefault="00204400" w:rsidP="00F34A18">
      <w:pPr>
        <w:pStyle w:val="Subtitle"/>
        <w:jc w:val="center"/>
        <w:rPr>
          <w:rFonts w:ascii="IBM Plex Sans" w:hAnsi="IBM Plex Sans"/>
          <w:b/>
          <w:bCs/>
          <w:color w:val="0070C0"/>
          <w:sz w:val="56"/>
          <w:szCs w:val="56"/>
        </w:rPr>
      </w:pPr>
    </w:p>
    <w:p w14:paraId="597BB79C" w14:textId="58CF38FF" w:rsidR="00267D35" w:rsidRPr="001249BA" w:rsidRDefault="00EE12F0" w:rsidP="00F34A18">
      <w:pPr>
        <w:pStyle w:val="Subtitle"/>
        <w:jc w:val="center"/>
        <w:rPr>
          <w:rFonts w:ascii="IBM Plex Sans" w:hAnsi="IBM Plex Sans"/>
          <w:b/>
          <w:bCs/>
          <w:color w:val="0070C0"/>
          <w:sz w:val="48"/>
          <w:szCs w:val="48"/>
        </w:rPr>
      </w:pPr>
      <w:r w:rsidRPr="001249BA">
        <w:rPr>
          <w:rFonts w:ascii="IBM Plex Sans" w:hAnsi="IBM Plex Sans"/>
          <w:b/>
          <w:bCs/>
          <w:color w:val="0070C0"/>
          <w:sz w:val="48"/>
          <w:szCs w:val="48"/>
        </w:rPr>
        <w:t>Gen AI Experiment</w:t>
      </w:r>
    </w:p>
    <w:p w14:paraId="36B24F15" w14:textId="3517C91C" w:rsidR="001249BA" w:rsidRPr="001249BA" w:rsidRDefault="001249BA" w:rsidP="001249BA">
      <w:pPr>
        <w:pStyle w:val="Subtitle"/>
        <w:jc w:val="center"/>
        <w:rPr>
          <w:rFonts w:ascii="IBM Plex Sans" w:hAnsi="IBM Plex Sans"/>
          <w:b/>
          <w:bCs/>
          <w:color w:val="0070C0"/>
          <w:sz w:val="48"/>
          <w:szCs w:val="48"/>
        </w:rPr>
      </w:pPr>
      <w:r w:rsidRPr="001249BA">
        <w:rPr>
          <w:rFonts w:ascii="IBM Plex Sans" w:hAnsi="IBM Plex Sans"/>
          <w:b/>
          <w:bCs/>
          <w:color w:val="0070C0"/>
          <w:sz w:val="48"/>
          <w:szCs w:val="48"/>
        </w:rPr>
        <w:t>to</w:t>
      </w:r>
    </w:p>
    <w:p w14:paraId="604BA444" w14:textId="1C9BC96A" w:rsidR="00F34A18" w:rsidRPr="001249BA" w:rsidRDefault="00FF1AC7" w:rsidP="00F34A18">
      <w:pPr>
        <w:pStyle w:val="Subtitle"/>
        <w:jc w:val="center"/>
        <w:rPr>
          <w:rFonts w:ascii="IBM Plex Sans" w:hAnsi="IBM Plex Sans"/>
          <w:b/>
          <w:bCs/>
          <w:color w:val="0070C0"/>
          <w:sz w:val="48"/>
          <w:szCs w:val="48"/>
        </w:rPr>
      </w:pPr>
      <w:r w:rsidRPr="001249BA">
        <w:rPr>
          <w:rFonts w:ascii="IBM Plex Sans" w:hAnsi="IBM Plex Sans"/>
          <w:b/>
          <w:bCs/>
          <w:color w:val="0070C0"/>
          <w:sz w:val="48"/>
          <w:szCs w:val="48"/>
        </w:rPr>
        <w:t>Generate a</w:t>
      </w:r>
      <w:r w:rsidR="00EE12F0" w:rsidRPr="001249BA">
        <w:rPr>
          <w:rFonts w:ascii="IBM Plex Sans" w:hAnsi="IBM Plex Sans"/>
          <w:b/>
          <w:bCs/>
          <w:color w:val="0070C0"/>
          <w:sz w:val="48"/>
          <w:szCs w:val="48"/>
        </w:rPr>
        <w:t xml:space="preserve"> </w:t>
      </w:r>
      <w:r w:rsidR="00052C07" w:rsidRPr="001249BA">
        <w:rPr>
          <w:rFonts w:ascii="IBM Plex Sans" w:hAnsi="IBM Plex Sans"/>
          <w:b/>
          <w:bCs/>
          <w:color w:val="0070C0"/>
          <w:sz w:val="48"/>
          <w:szCs w:val="48"/>
        </w:rPr>
        <w:t>W</w:t>
      </w:r>
      <w:r w:rsidR="00EE12F0" w:rsidRPr="001249BA">
        <w:rPr>
          <w:rFonts w:ascii="IBM Plex Sans" w:hAnsi="IBM Plex Sans"/>
          <w:b/>
          <w:bCs/>
          <w:color w:val="0070C0"/>
          <w:sz w:val="48"/>
          <w:szCs w:val="48"/>
        </w:rPr>
        <w:t xml:space="preserve">hitepaper </w:t>
      </w:r>
    </w:p>
    <w:p w14:paraId="0F0E99F8" w14:textId="7F40495E" w:rsidR="00A568BD" w:rsidRPr="001249BA" w:rsidRDefault="00EE12F0" w:rsidP="00F34A18">
      <w:pPr>
        <w:pStyle w:val="Subtitle"/>
        <w:jc w:val="center"/>
        <w:rPr>
          <w:rFonts w:ascii="IBM Plex Sans" w:hAnsi="IBM Plex Sans"/>
          <w:b/>
          <w:bCs/>
          <w:color w:val="0070C0"/>
          <w:sz w:val="48"/>
          <w:szCs w:val="48"/>
        </w:rPr>
      </w:pPr>
      <w:r w:rsidRPr="001249BA">
        <w:rPr>
          <w:rFonts w:ascii="IBM Plex Sans" w:hAnsi="IBM Plex Sans"/>
          <w:b/>
          <w:bCs/>
          <w:color w:val="0070C0"/>
          <w:sz w:val="48"/>
          <w:szCs w:val="48"/>
        </w:rPr>
        <w:t>on</w:t>
      </w:r>
    </w:p>
    <w:p w14:paraId="07638D1C" w14:textId="3C64B9FF" w:rsidR="00B01BDC" w:rsidRPr="001249BA" w:rsidRDefault="009942A4" w:rsidP="00F34A18">
      <w:pPr>
        <w:pStyle w:val="Subtitle"/>
        <w:jc w:val="center"/>
        <w:rPr>
          <w:rFonts w:ascii="IBM Plex Sans" w:hAnsi="IBM Plex Sans"/>
          <w:b/>
          <w:bCs/>
          <w:color w:val="0070C0"/>
          <w:sz w:val="48"/>
          <w:szCs w:val="48"/>
        </w:rPr>
      </w:pPr>
      <w:r w:rsidRPr="001249BA">
        <w:rPr>
          <w:rFonts w:ascii="IBM Plex Sans" w:hAnsi="IBM Plex Sans"/>
          <w:b/>
          <w:bCs/>
          <w:color w:val="0070C0"/>
          <w:sz w:val="48"/>
          <w:szCs w:val="48"/>
        </w:rPr>
        <w:t>FERC Order 2222</w:t>
      </w:r>
    </w:p>
    <w:p w14:paraId="170526E4" w14:textId="77777777" w:rsidR="004902EC" w:rsidRDefault="004902EC" w:rsidP="004902EC"/>
    <w:p w14:paraId="28FB4BB8" w14:textId="033BEDF3" w:rsidR="004902EC" w:rsidRPr="0044196D" w:rsidRDefault="0044196D" w:rsidP="004902EC">
      <w:pPr>
        <w:rPr>
          <w:b/>
          <w:bCs/>
          <w:color w:val="808080" w:themeColor="background1" w:themeShade="80"/>
          <w:sz w:val="28"/>
          <w:szCs w:val="28"/>
        </w:rPr>
      </w:pPr>
      <w:r w:rsidRPr="0044196D">
        <w:rPr>
          <w:b/>
          <w:bCs/>
          <w:color w:val="808080" w:themeColor="background1" w:themeShade="80"/>
          <w:sz w:val="28"/>
          <w:szCs w:val="28"/>
        </w:rPr>
        <w:t>Authors</w:t>
      </w:r>
    </w:p>
    <w:p w14:paraId="4C27846F" w14:textId="004DAF5F" w:rsidR="0044196D" w:rsidRPr="0044196D" w:rsidRDefault="0044196D" w:rsidP="0044196D">
      <w:pPr>
        <w:pStyle w:val="NormalWeb"/>
        <w:spacing w:before="0" w:beforeAutospacing="0" w:after="160" w:afterAutospacing="0" w:line="256" w:lineRule="auto"/>
        <w:jc w:val="both"/>
        <w:rPr>
          <w:sz w:val="18"/>
          <w:szCs w:val="18"/>
        </w:rPr>
      </w:pPr>
      <w:r w:rsidRPr="0044196D">
        <w:rPr>
          <w:rFonts w:ascii="IBM Plex Sans" w:eastAsia="MS Mincho" w:hAnsi="IBM Plex Sans"/>
          <w:color w:val="0070C0"/>
          <w:kern w:val="24"/>
        </w:rPr>
        <w:t xml:space="preserve">Sandeep Dayal </w:t>
      </w:r>
      <w:r w:rsidRPr="0044196D">
        <w:rPr>
          <w:rFonts w:ascii="IBM Plex Sans" w:eastAsia="MS Mincho" w:hAnsi="IBM Plex Sans"/>
          <w:color w:val="002060"/>
          <w:kern w:val="24"/>
        </w:rPr>
        <w:t>|</w:t>
      </w:r>
      <w:r w:rsidRPr="0044196D">
        <w:rPr>
          <w:rFonts w:ascii="IBM Plex Sans" w:eastAsia="MS Mincho" w:hAnsi="IBM Plex Sans"/>
          <w:color w:val="0070C0"/>
          <w:kern w:val="24"/>
        </w:rPr>
        <w:t xml:space="preserve"> </w:t>
      </w:r>
      <w:r w:rsidRPr="0044196D">
        <w:rPr>
          <w:rFonts w:ascii="IBM Plex Sans" w:eastAsia="MS Mincho" w:hAnsi="IBM Plex Sans"/>
          <w:color w:val="808080" w:themeColor="background1" w:themeShade="80"/>
          <w:kern w:val="24"/>
          <w:sz w:val="22"/>
          <w:szCs w:val="22"/>
        </w:rPr>
        <w:t>Solution Architect,</w:t>
      </w:r>
      <w:r w:rsidR="00425E47">
        <w:rPr>
          <w:rFonts w:ascii="IBM Plex Sans" w:eastAsia="MS Mincho" w:hAnsi="IBM Plex Sans"/>
          <w:color w:val="808080" w:themeColor="background1" w:themeShade="80"/>
          <w:kern w:val="24"/>
          <w:sz w:val="22"/>
          <w:szCs w:val="22"/>
        </w:rPr>
        <w:t xml:space="preserve"> IBM,</w:t>
      </w:r>
      <w:r w:rsidRPr="0044196D">
        <w:rPr>
          <w:rFonts w:ascii="IBM Plex Sans" w:eastAsia="MS Mincho" w:hAnsi="IBM Plex Sans"/>
          <w:color w:val="808080" w:themeColor="background1" w:themeShade="80"/>
          <w:kern w:val="24"/>
          <w:sz w:val="22"/>
          <w:szCs w:val="22"/>
        </w:rPr>
        <w:t xml:space="preserve"> Energy &amp; Utilities </w:t>
      </w:r>
    </w:p>
    <w:p w14:paraId="231082F9" w14:textId="3F4D8CF4" w:rsidR="0044196D" w:rsidRPr="0044196D" w:rsidRDefault="0044196D" w:rsidP="0044196D">
      <w:pPr>
        <w:pStyle w:val="NormalWeb"/>
        <w:spacing w:before="0" w:beforeAutospacing="0" w:after="160" w:afterAutospacing="0" w:line="256" w:lineRule="auto"/>
        <w:jc w:val="both"/>
        <w:rPr>
          <w:sz w:val="18"/>
          <w:szCs w:val="18"/>
        </w:rPr>
      </w:pPr>
      <w:r w:rsidRPr="0044196D">
        <w:rPr>
          <w:rFonts w:ascii="IBM Plex Sans" w:eastAsia="MS Mincho" w:hAnsi="IBM Plex Sans"/>
          <w:color w:val="0070C0"/>
          <w:kern w:val="24"/>
        </w:rPr>
        <w:t xml:space="preserve">Yuvaraj Kathirvel </w:t>
      </w:r>
      <w:r w:rsidRPr="0044196D">
        <w:rPr>
          <w:rFonts w:ascii="IBM Plex Sans" w:eastAsia="MS Mincho" w:hAnsi="IBM Plex Sans"/>
          <w:color w:val="002060"/>
          <w:kern w:val="24"/>
        </w:rPr>
        <w:t xml:space="preserve">| </w:t>
      </w:r>
      <w:r w:rsidRPr="0044196D">
        <w:rPr>
          <w:rFonts w:ascii="IBM Plex Sans" w:eastAsia="MS Mincho" w:hAnsi="IBM Plex Sans"/>
          <w:color w:val="808080" w:themeColor="background1" w:themeShade="80"/>
          <w:kern w:val="24"/>
          <w:sz w:val="22"/>
          <w:szCs w:val="22"/>
        </w:rPr>
        <w:t>Enterprise Architect,</w:t>
      </w:r>
      <w:r w:rsidR="00425E47">
        <w:rPr>
          <w:rFonts w:ascii="IBM Plex Sans" w:eastAsia="MS Mincho" w:hAnsi="IBM Plex Sans"/>
          <w:color w:val="808080" w:themeColor="background1" w:themeShade="80"/>
          <w:kern w:val="24"/>
          <w:sz w:val="22"/>
          <w:szCs w:val="22"/>
        </w:rPr>
        <w:t xml:space="preserve"> IBM, </w:t>
      </w:r>
      <w:r w:rsidRPr="0044196D">
        <w:rPr>
          <w:rFonts w:ascii="IBM Plex Sans" w:eastAsia="MS Mincho" w:hAnsi="IBM Plex Sans"/>
          <w:color w:val="808080" w:themeColor="background1" w:themeShade="80"/>
          <w:kern w:val="24"/>
          <w:sz w:val="22"/>
          <w:szCs w:val="22"/>
        </w:rPr>
        <w:t xml:space="preserve">Energy &amp; Utilities </w:t>
      </w:r>
    </w:p>
    <w:p w14:paraId="58310B6E" w14:textId="77777777" w:rsidR="00EE12F0" w:rsidRDefault="00EE12F0" w:rsidP="00EE12F0">
      <w:pPr>
        <w:rPr>
          <w:rFonts w:ascii="IBM Plex Sans" w:hAnsi="IBM Plex Sans"/>
          <w:sz w:val="20"/>
          <w:szCs w:val="20"/>
        </w:rPr>
      </w:pPr>
    </w:p>
    <w:p w14:paraId="758EC420" w14:textId="26F0A6DD" w:rsidR="00DD4C18" w:rsidRPr="0044196D" w:rsidRDefault="00F974DF" w:rsidP="00DD4C18">
      <w:pPr>
        <w:rPr>
          <w:b/>
          <w:bCs/>
          <w:color w:val="808080" w:themeColor="background1" w:themeShade="80"/>
          <w:sz w:val="28"/>
          <w:szCs w:val="28"/>
        </w:rPr>
      </w:pPr>
      <w:r>
        <w:rPr>
          <w:b/>
          <w:bCs/>
          <w:color w:val="808080" w:themeColor="background1" w:themeShade="80"/>
          <w:sz w:val="28"/>
          <w:szCs w:val="28"/>
        </w:rPr>
        <w:t>Editor</w:t>
      </w:r>
    </w:p>
    <w:p w14:paraId="36F1CE94" w14:textId="39BD405D" w:rsidR="00DD4C18" w:rsidRDefault="00F974DF" w:rsidP="00F974DF">
      <w:pPr>
        <w:pStyle w:val="NormalWeb"/>
        <w:spacing w:before="0" w:beforeAutospacing="0" w:after="160" w:afterAutospacing="0" w:line="256" w:lineRule="auto"/>
        <w:jc w:val="both"/>
        <w:rPr>
          <w:rFonts w:ascii="IBM Plex Sans" w:eastAsia="MS Mincho" w:hAnsi="IBM Plex Sans"/>
          <w:color w:val="808080" w:themeColor="background1" w:themeShade="80"/>
          <w:kern w:val="24"/>
          <w:sz w:val="22"/>
          <w:szCs w:val="22"/>
        </w:rPr>
      </w:pPr>
      <w:r w:rsidRPr="00F974DF">
        <w:rPr>
          <w:rFonts w:ascii="IBM Plex Sans" w:eastAsia="MS Mincho" w:hAnsi="IBM Plex Sans"/>
          <w:color w:val="0070C0"/>
          <w:kern w:val="24"/>
        </w:rPr>
        <w:t>Caroline Anderson</w:t>
      </w:r>
      <w:r>
        <w:rPr>
          <w:rFonts w:ascii="IBM Plex Sans" w:eastAsia="MS Mincho" w:hAnsi="IBM Plex Sans"/>
          <w:color w:val="0070C0"/>
          <w:kern w:val="24"/>
        </w:rPr>
        <w:t xml:space="preserve"> </w:t>
      </w:r>
      <w:r w:rsidR="00DD4C18" w:rsidRPr="0044196D">
        <w:rPr>
          <w:rFonts w:ascii="IBM Plex Sans" w:eastAsia="MS Mincho" w:hAnsi="IBM Plex Sans"/>
          <w:color w:val="002060"/>
          <w:kern w:val="24"/>
        </w:rPr>
        <w:t>|</w:t>
      </w:r>
      <w:r w:rsidR="00DD4C18" w:rsidRPr="0044196D">
        <w:rPr>
          <w:rFonts w:ascii="IBM Plex Sans" w:eastAsia="MS Mincho" w:hAnsi="IBM Plex Sans"/>
          <w:color w:val="0070C0"/>
          <w:kern w:val="24"/>
        </w:rPr>
        <w:t xml:space="preserve"> </w:t>
      </w:r>
      <w:r w:rsidR="0067149E">
        <w:rPr>
          <w:rFonts w:ascii="IBM Plex Sans" w:eastAsia="MS Mincho" w:hAnsi="IBM Plex Sans"/>
          <w:color w:val="808080" w:themeColor="background1" w:themeShade="80"/>
          <w:kern w:val="24"/>
          <w:sz w:val="22"/>
          <w:szCs w:val="22"/>
        </w:rPr>
        <w:t>Consultant,</w:t>
      </w:r>
      <w:r w:rsidR="00DD4C18">
        <w:rPr>
          <w:rFonts w:ascii="IBM Plex Sans" w:eastAsia="MS Mincho" w:hAnsi="IBM Plex Sans"/>
          <w:color w:val="808080" w:themeColor="background1" w:themeShade="80"/>
          <w:kern w:val="24"/>
          <w:sz w:val="22"/>
          <w:szCs w:val="22"/>
        </w:rPr>
        <w:t xml:space="preserve"> IBM,</w:t>
      </w:r>
      <w:r w:rsidR="00DD4C18" w:rsidRPr="0044196D">
        <w:rPr>
          <w:rFonts w:ascii="IBM Plex Sans" w:eastAsia="MS Mincho" w:hAnsi="IBM Plex Sans"/>
          <w:color w:val="808080" w:themeColor="background1" w:themeShade="80"/>
          <w:kern w:val="24"/>
          <w:sz w:val="22"/>
          <w:szCs w:val="22"/>
        </w:rPr>
        <w:t xml:space="preserve"> Energy &amp; Utilities</w:t>
      </w:r>
    </w:p>
    <w:p w14:paraId="51A17311" w14:textId="77777777" w:rsidR="007C0831" w:rsidRDefault="007C0831" w:rsidP="00F974DF">
      <w:pPr>
        <w:pStyle w:val="NormalWeb"/>
        <w:spacing w:before="0" w:beforeAutospacing="0" w:after="160" w:afterAutospacing="0" w:line="256" w:lineRule="auto"/>
        <w:jc w:val="both"/>
        <w:rPr>
          <w:rFonts w:ascii="IBM Plex Sans" w:eastAsia="MS Mincho" w:hAnsi="IBM Plex Sans"/>
          <w:color w:val="808080" w:themeColor="background1" w:themeShade="80"/>
          <w:kern w:val="24"/>
          <w:sz w:val="22"/>
          <w:szCs w:val="22"/>
        </w:rPr>
      </w:pPr>
    </w:p>
    <w:p w14:paraId="52CC5D96" w14:textId="77777777" w:rsidR="007C0831" w:rsidRDefault="007C0831" w:rsidP="00F974DF">
      <w:pPr>
        <w:pStyle w:val="NormalWeb"/>
        <w:spacing w:before="0" w:beforeAutospacing="0" w:after="160" w:afterAutospacing="0" w:line="256" w:lineRule="auto"/>
        <w:jc w:val="both"/>
        <w:rPr>
          <w:rFonts w:ascii="IBM Plex Sans" w:eastAsia="MS Mincho" w:hAnsi="IBM Plex Sans"/>
          <w:color w:val="808080" w:themeColor="background1" w:themeShade="80"/>
          <w:kern w:val="24"/>
          <w:sz w:val="22"/>
          <w:szCs w:val="22"/>
        </w:rPr>
      </w:pPr>
    </w:p>
    <w:p w14:paraId="7B629919" w14:textId="6EE596AC" w:rsidR="007C0831" w:rsidRPr="007C0831" w:rsidRDefault="007C0831" w:rsidP="00F974DF">
      <w:pPr>
        <w:pStyle w:val="NormalWeb"/>
        <w:spacing w:before="0" w:beforeAutospacing="0" w:after="160" w:afterAutospacing="0" w:line="256" w:lineRule="auto"/>
        <w:jc w:val="both"/>
        <w:rPr>
          <w:sz w:val="18"/>
          <w:szCs w:val="18"/>
        </w:rPr>
      </w:pPr>
      <w:r w:rsidRPr="007C0831">
        <w:rPr>
          <w:rFonts w:ascii="IBM Plex Sans" w:eastAsia="MS Mincho" w:hAnsi="IBM Plex Sans"/>
          <w:color w:val="808080" w:themeColor="background1" w:themeShade="80"/>
          <w:kern w:val="24"/>
          <w:sz w:val="22"/>
          <w:szCs w:val="22"/>
        </w:rPr>
        <w:t>Date: 7/ Nov/ 2023</w:t>
      </w:r>
    </w:p>
    <w:p w14:paraId="28365509" w14:textId="4768F264" w:rsidR="0017032F" w:rsidRPr="00EE3A6E" w:rsidRDefault="0017032F" w:rsidP="0017032F">
      <w:pPr>
        <w:rPr>
          <w:rFonts w:ascii="IBM Plex Sans" w:hAnsi="IBM Plex Sans"/>
          <w:sz w:val="20"/>
          <w:szCs w:val="20"/>
        </w:rPr>
      </w:pPr>
    </w:p>
    <w:p w14:paraId="2027C20B" w14:textId="304BE010" w:rsidR="0017032F" w:rsidRPr="00EE3A6E" w:rsidRDefault="0017032F" w:rsidP="0017032F">
      <w:pPr>
        <w:rPr>
          <w:rFonts w:ascii="IBM Plex Sans" w:hAnsi="IBM Plex Sans"/>
          <w:sz w:val="20"/>
          <w:szCs w:val="20"/>
        </w:rPr>
      </w:pPr>
    </w:p>
    <w:bookmarkStart w:id="0" w:name="_Toc24564156" w:displacedByCustomXml="next"/>
    <w:sdt>
      <w:sdtPr>
        <w:rPr>
          <w:rFonts w:ascii="IBM Plex Sans" w:eastAsiaTheme="minorHAnsi" w:hAnsi="IBM Plex Sans" w:cstheme="minorBidi"/>
          <w:caps/>
          <w:color w:val="auto"/>
          <w:sz w:val="20"/>
          <w:szCs w:val="20"/>
        </w:rPr>
        <w:id w:val="1786306056"/>
        <w:docPartObj>
          <w:docPartGallery w:val="Table of Contents"/>
          <w:docPartUnique/>
        </w:docPartObj>
      </w:sdtPr>
      <w:sdtEndPr>
        <w:rPr>
          <w:rFonts w:eastAsiaTheme="minorEastAsia"/>
          <w:b/>
          <w:bCs/>
          <w:caps w:val="0"/>
          <w:noProof/>
        </w:rPr>
      </w:sdtEndPr>
      <w:sdtContent>
        <w:p w14:paraId="10D9A505" w14:textId="3173742C" w:rsidR="00B26B56" w:rsidRPr="00257269" w:rsidRDefault="00B26B56">
          <w:pPr>
            <w:pStyle w:val="TOCHeading"/>
            <w:rPr>
              <w:rFonts w:ascii="IBM Plex Sans" w:hAnsi="IBM Plex Sans"/>
              <w:b/>
              <w:bCs/>
              <w:caps/>
              <w:noProof/>
              <w:color w:val="0070C0"/>
              <w:sz w:val="32"/>
              <w:szCs w:val="32"/>
            </w:rPr>
          </w:pPr>
          <w:r w:rsidRPr="00257269">
            <w:rPr>
              <w:rFonts w:ascii="IBM Plex Sans" w:hAnsi="IBM Plex Sans"/>
              <w:b/>
              <w:bCs/>
              <w:noProof/>
              <w:color w:val="0070C0"/>
              <w:sz w:val="32"/>
              <w:szCs w:val="32"/>
            </w:rPr>
            <w:t>Table of Contents</w:t>
          </w:r>
        </w:p>
        <w:p w14:paraId="089C5E00" w14:textId="7EFFEB41" w:rsidR="00B26B56" w:rsidRPr="00EE3A6E" w:rsidRDefault="00F16201">
          <w:pPr>
            <w:rPr>
              <w:rFonts w:ascii="IBM Plex Sans" w:hAnsi="IBM Plex Sans"/>
              <w:sz w:val="20"/>
              <w:szCs w:val="20"/>
            </w:rPr>
          </w:pPr>
          <w:r w:rsidRPr="00EE3A6E">
            <w:rPr>
              <w:rFonts w:ascii="IBM Plex Sans" w:hAnsi="IBM Plex Sans"/>
              <w:b/>
              <w:bCs/>
              <w:noProof/>
              <w:sz w:val="28"/>
              <w:szCs w:val="28"/>
            </w:rPr>
            <mc:AlternateContent>
              <mc:Choice Requires="wps">
                <w:drawing>
                  <wp:anchor distT="45720" distB="45720" distL="114300" distR="114300" simplePos="0" relativeHeight="251659264" behindDoc="0" locked="0" layoutInCell="1" allowOverlap="1" wp14:anchorId="66D3E6D1" wp14:editId="332840F6">
                    <wp:simplePos x="0" y="0"/>
                    <wp:positionH relativeFrom="column">
                      <wp:posOffset>3565053</wp:posOffset>
                    </wp:positionH>
                    <wp:positionV relativeFrom="paragraph">
                      <wp:posOffset>280670</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457783" w14:textId="2F920900" w:rsidR="00F16201" w:rsidRPr="00F16201" w:rsidRDefault="003748C6">
                                <w:pPr>
                                  <w:rPr>
                                    <w:rFonts w:ascii="IBM Plex Sans" w:hAnsi="IBM Plex Sans"/>
                                    <w:b/>
                                    <w:bCs/>
                                    <w:sz w:val="32"/>
                                    <w:szCs w:val="32"/>
                                  </w:rPr>
                                </w:pPr>
                                <w:r>
                                  <w:rPr>
                                    <w:rFonts w:ascii="IBM Plex Sans" w:hAnsi="IBM Plex Sans"/>
                                    <w:b/>
                                    <w:bCs/>
                                    <w:sz w:val="32"/>
                                    <w:szCs w:val="32"/>
                                  </w:rPr>
                                  <w:t>16</w:t>
                                </w:r>
                              </w:p>
                              <w:p w14:paraId="0E3ED3AA" w14:textId="56A04444" w:rsidR="00F16201" w:rsidRPr="002C7321" w:rsidRDefault="00F16201">
                                <w:pPr>
                                  <w:rPr>
                                    <w:rFonts w:ascii="IBM Plex Sans" w:hAnsi="IBM Plex Sans"/>
                                    <w:color w:val="0070C0"/>
                                    <w:sz w:val="28"/>
                                    <w:szCs w:val="28"/>
                                  </w:rPr>
                                </w:pPr>
                                <w:r w:rsidRPr="002C7321">
                                  <w:rPr>
                                    <w:rFonts w:ascii="IBM Plex Sans" w:hAnsi="IBM Plex Sans"/>
                                    <w:color w:val="0070C0"/>
                                    <w:sz w:val="28"/>
                                    <w:szCs w:val="28"/>
                                  </w:rPr>
                                  <w:t>Tech</w:t>
                                </w:r>
                                <w:r w:rsidR="000E0DC2">
                                  <w:rPr>
                                    <w:rFonts w:ascii="IBM Plex Sans" w:hAnsi="IBM Plex Sans"/>
                                    <w:color w:val="0070C0"/>
                                    <w:sz w:val="28"/>
                                    <w:szCs w:val="28"/>
                                  </w:rPr>
                                  <w:t>nology</w:t>
                                </w:r>
                                <w:r w:rsidRPr="002C7321">
                                  <w:rPr>
                                    <w:rFonts w:ascii="IBM Plex Sans" w:hAnsi="IBM Plex Sans"/>
                                    <w:color w:val="0070C0"/>
                                    <w:sz w:val="28"/>
                                    <w:szCs w:val="28"/>
                                  </w:rPr>
                                  <w:t xml:space="preserve"> Advancements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D3E6D1" id="_x0000_t202" coordsize="21600,21600" o:spt="202" path="m,l,21600r21600,l21600,xe">
                    <v:stroke joinstyle="miter"/>
                    <v:path gradientshapeok="t" o:connecttype="rect"/>
                  </v:shapetype>
                  <v:shape id="Text Box 2" o:spid="_x0000_s1026" type="#_x0000_t202" style="position:absolute;margin-left:280.7pt;margin-top:22.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" stroked="f">
                    <v:textbox style="mso-fit-shape-to-text:t">
                      <w:txbxContent>
                        <w:p w14:paraId="55457783" w14:textId="2F920900" w:rsidR="00F16201" w:rsidRPr="00F16201" w:rsidRDefault="003748C6">
                          <w:pPr>
                            <w:rPr>
                              <w:rFonts w:ascii="IBM Plex Sans" w:hAnsi="IBM Plex Sans"/>
                              <w:b/>
                              <w:bCs/>
                              <w:sz w:val="32"/>
                              <w:szCs w:val="32"/>
                            </w:rPr>
                          </w:pPr>
                          <w:r>
                            <w:rPr>
                              <w:rFonts w:ascii="IBM Plex Sans" w:hAnsi="IBM Plex Sans"/>
                              <w:b/>
                              <w:bCs/>
                              <w:sz w:val="32"/>
                              <w:szCs w:val="32"/>
                            </w:rPr>
                            <w:t>16</w:t>
                          </w:r>
                        </w:p>
                        <w:p w14:paraId="0E3ED3AA" w14:textId="56A04444" w:rsidR="00F16201" w:rsidRPr="002C7321" w:rsidRDefault="00F16201">
                          <w:pPr>
                            <w:rPr>
                              <w:rFonts w:ascii="IBM Plex Sans" w:hAnsi="IBM Plex Sans"/>
                              <w:color w:val="0070C0"/>
                              <w:sz w:val="28"/>
                              <w:szCs w:val="28"/>
                            </w:rPr>
                          </w:pPr>
                          <w:r w:rsidRPr="002C7321">
                            <w:rPr>
                              <w:rFonts w:ascii="IBM Plex Sans" w:hAnsi="IBM Plex Sans"/>
                              <w:color w:val="0070C0"/>
                              <w:sz w:val="28"/>
                              <w:szCs w:val="28"/>
                            </w:rPr>
                            <w:t>Tech</w:t>
                          </w:r>
                          <w:r w:rsidR="000E0DC2">
                            <w:rPr>
                              <w:rFonts w:ascii="IBM Plex Sans" w:hAnsi="IBM Plex Sans"/>
                              <w:color w:val="0070C0"/>
                              <w:sz w:val="28"/>
                              <w:szCs w:val="28"/>
                            </w:rPr>
                            <w:t>nology</w:t>
                          </w:r>
                          <w:r w:rsidRPr="002C7321">
                            <w:rPr>
                              <w:rFonts w:ascii="IBM Plex Sans" w:hAnsi="IBM Plex Sans"/>
                              <w:color w:val="0070C0"/>
                              <w:sz w:val="28"/>
                              <w:szCs w:val="28"/>
                            </w:rPr>
                            <w:t xml:space="preserve"> Advancements </w:t>
                          </w:r>
                        </w:p>
                      </w:txbxContent>
                    </v:textbox>
                    <w10:wrap type="square"/>
                  </v:shape>
                </w:pict>
              </mc:Fallback>
            </mc:AlternateContent>
          </w:r>
          <w:r w:rsidR="00B26B56" w:rsidRPr="00EE3A6E">
            <w:rPr>
              <w:rFonts w:ascii="IBM Plex Sans" w:hAnsi="IBM Plex Sans"/>
              <w:i/>
              <w:iCs/>
            </w:rPr>
            <w:fldChar w:fldCharType="begin"/>
          </w:r>
          <w:r w:rsidR="00B26B56" w:rsidRPr="00EE3A6E">
            <w:rPr>
              <w:rFonts w:ascii="IBM Plex Sans" w:hAnsi="IBM Plex Sans"/>
              <w:sz w:val="20"/>
              <w:szCs w:val="20"/>
            </w:rPr>
            <w:instrText xml:space="preserve"> TOC \o "1-3" \h \z \u </w:instrText>
          </w:r>
          <w:r w:rsidR="001249BA">
            <w:rPr>
              <w:rFonts w:ascii="IBM Plex Sans" w:hAnsi="IBM Plex Sans"/>
              <w:i/>
              <w:iCs/>
            </w:rPr>
            <w:fldChar w:fldCharType="separate"/>
          </w:r>
          <w:r w:rsidR="00B26B56" w:rsidRPr="00EE3A6E">
            <w:rPr>
              <w:rFonts w:ascii="IBM Plex Sans" w:hAnsi="IBM Plex Sans"/>
              <w:b/>
              <w:bCs/>
              <w:noProof/>
              <w:sz w:val="20"/>
              <w:szCs w:val="20"/>
            </w:rPr>
            <w:fldChar w:fldCharType="end"/>
          </w:r>
        </w:p>
      </w:sdtContent>
    </w:sdt>
    <w:p w14:paraId="5E0F09BB" w14:textId="0EF902D0" w:rsidR="00F16201" w:rsidRPr="00EE3A6E" w:rsidRDefault="00F16201">
      <w:pPr>
        <w:rPr>
          <w:rFonts w:ascii="IBM Plex Sans" w:hAnsi="IBM Plex Sans"/>
          <w:b/>
          <w:bCs/>
          <w:sz w:val="28"/>
          <w:szCs w:val="28"/>
        </w:rPr>
      </w:pPr>
      <w:r w:rsidRPr="00EE3A6E">
        <w:rPr>
          <w:rFonts w:ascii="IBM Plex Sans" w:hAnsi="IBM Plex Sans"/>
          <w:b/>
          <w:bCs/>
          <w:sz w:val="28"/>
          <w:szCs w:val="28"/>
        </w:rPr>
        <w:t>0</w:t>
      </w:r>
      <w:r w:rsidR="00B4591C">
        <w:rPr>
          <w:rFonts w:ascii="IBM Plex Sans" w:hAnsi="IBM Plex Sans"/>
          <w:b/>
          <w:bCs/>
          <w:sz w:val="28"/>
          <w:szCs w:val="28"/>
        </w:rPr>
        <w:t>3</w:t>
      </w:r>
    </w:p>
    <w:p w14:paraId="07D8AC75" w14:textId="24A5CDA2" w:rsidR="00F16201" w:rsidRPr="00257269" w:rsidRDefault="00F16201">
      <w:pPr>
        <w:rPr>
          <w:rFonts w:ascii="IBM Plex Sans" w:hAnsi="IBM Plex Sans"/>
          <w:color w:val="0070C0"/>
          <w:sz w:val="28"/>
          <w:szCs w:val="28"/>
        </w:rPr>
      </w:pPr>
      <w:r w:rsidRPr="00257269">
        <w:rPr>
          <w:rFonts w:ascii="IBM Plex Sans" w:hAnsi="IBM Plex Sans"/>
          <w:color w:val="0070C0"/>
          <w:sz w:val="28"/>
          <w:szCs w:val="28"/>
        </w:rPr>
        <w:t xml:space="preserve">Abstract </w:t>
      </w:r>
    </w:p>
    <w:p w14:paraId="18FA7AAE" w14:textId="6B483812" w:rsidR="00F16201" w:rsidRPr="00EE3A6E" w:rsidRDefault="00F16201">
      <w:pPr>
        <w:rPr>
          <w:rFonts w:ascii="IBM Plex Sans" w:hAnsi="IBM Plex Sans"/>
          <w:sz w:val="28"/>
          <w:szCs w:val="28"/>
        </w:rPr>
      </w:pPr>
    </w:p>
    <w:p w14:paraId="04F8D420" w14:textId="28210BB4" w:rsidR="00F16201" w:rsidRPr="00EE3A6E" w:rsidRDefault="00F16201">
      <w:pPr>
        <w:rPr>
          <w:rFonts w:ascii="IBM Plex Sans" w:hAnsi="IBM Plex Sans"/>
          <w:b/>
          <w:bCs/>
          <w:sz w:val="28"/>
          <w:szCs w:val="28"/>
        </w:rPr>
      </w:pPr>
      <w:r w:rsidRPr="00EE3A6E">
        <w:rPr>
          <w:rFonts w:ascii="IBM Plex Sans" w:hAnsi="IBM Plex Sans"/>
          <w:b/>
          <w:bCs/>
          <w:noProof/>
          <w:sz w:val="28"/>
          <w:szCs w:val="28"/>
        </w:rPr>
        <mc:AlternateContent>
          <mc:Choice Requires="wps">
            <w:drawing>
              <wp:anchor distT="45720" distB="45720" distL="114300" distR="114300" simplePos="0" relativeHeight="251661312" behindDoc="0" locked="0" layoutInCell="1" allowOverlap="1" wp14:anchorId="0137453C" wp14:editId="77C229EE">
                <wp:simplePos x="0" y="0"/>
                <wp:positionH relativeFrom="margin">
                  <wp:align>right</wp:align>
                </wp:positionH>
                <wp:positionV relativeFrom="paragraph">
                  <wp:posOffset>13159</wp:posOffset>
                </wp:positionV>
                <wp:extent cx="2360930" cy="1404620"/>
                <wp:effectExtent l="0" t="0" r="381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AD7C7A" w14:textId="6D60AD36" w:rsidR="00F16201" w:rsidRPr="00F16201" w:rsidRDefault="00B44445" w:rsidP="00F16201">
                            <w:pPr>
                              <w:rPr>
                                <w:rFonts w:ascii="IBM Plex Sans" w:hAnsi="IBM Plex Sans"/>
                                <w:b/>
                                <w:bCs/>
                                <w:sz w:val="32"/>
                                <w:szCs w:val="32"/>
                              </w:rPr>
                            </w:pPr>
                            <w:r>
                              <w:rPr>
                                <w:rFonts w:ascii="IBM Plex Sans" w:hAnsi="IBM Plex Sans"/>
                                <w:b/>
                                <w:bCs/>
                                <w:sz w:val="32"/>
                                <w:szCs w:val="32"/>
                              </w:rPr>
                              <w:t>18</w:t>
                            </w:r>
                          </w:p>
                          <w:p w14:paraId="788D404A" w14:textId="7A8F7B17"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Case Study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37453C" id="_x0000_s1027" type="#_x0000_t202" style="position:absolute;margin-left:134.7pt;margin-top:1.0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" stroked="f">
                <v:textbox style="mso-fit-shape-to-text:t">
                  <w:txbxContent>
                    <w:p w14:paraId="76AD7C7A" w14:textId="6D60AD36" w:rsidR="00F16201" w:rsidRPr="00F16201" w:rsidRDefault="00B44445" w:rsidP="00F16201">
                      <w:pPr>
                        <w:rPr>
                          <w:rFonts w:ascii="IBM Plex Sans" w:hAnsi="IBM Plex Sans"/>
                          <w:b/>
                          <w:bCs/>
                          <w:sz w:val="32"/>
                          <w:szCs w:val="32"/>
                        </w:rPr>
                      </w:pPr>
                      <w:r>
                        <w:rPr>
                          <w:rFonts w:ascii="IBM Plex Sans" w:hAnsi="IBM Plex Sans"/>
                          <w:b/>
                          <w:bCs/>
                          <w:sz w:val="32"/>
                          <w:szCs w:val="32"/>
                        </w:rPr>
                        <w:t>18</w:t>
                      </w:r>
                    </w:p>
                    <w:p w14:paraId="788D404A" w14:textId="7A8F7B17"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Case Study</w:t>
                      </w:r>
                    </w:p>
                  </w:txbxContent>
                </v:textbox>
                <w10:wrap type="square" anchorx="margin"/>
              </v:shape>
            </w:pict>
          </mc:Fallback>
        </mc:AlternateContent>
      </w:r>
      <w:r w:rsidRPr="00EE3A6E">
        <w:rPr>
          <w:rFonts w:ascii="IBM Plex Sans" w:hAnsi="IBM Plex Sans"/>
          <w:b/>
          <w:bCs/>
          <w:sz w:val="28"/>
          <w:szCs w:val="28"/>
        </w:rPr>
        <w:t>0</w:t>
      </w:r>
      <w:r w:rsidR="006952FF">
        <w:rPr>
          <w:rFonts w:ascii="IBM Plex Sans" w:hAnsi="IBM Plex Sans"/>
          <w:b/>
          <w:bCs/>
          <w:sz w:val="28"/>
          <w:szCs w:val="28"/>
        </w:rPr>
        <w:t>5</w:t>
      </w:r>
    </w:p>
    <w:p w14:paraId="5BBA3348" w14:textId="6186459F" w:rsidR="00F16201" w:rsidRPr="00257269" w:rsidRDefault="00F16201">
      <w:pPr>
        <w:rPr>
          <w:rFonts w:ascii="IBM Plex Sans" w:hAnsi="IBM Plex Sans"/>
          <w:color w:val="0070C0"/>
          <w:sz w:val="28"/>
          <w:szCs w:val="28"/>
        </w:rPr>
      </w:pPr>
      <w:r w:rsidRPr="00257269">
        <w:rPr>
          <w:rFonts w:ascii="IBM Plex Sans" w:hAnsi="IBM Plex Sans"/>
          <w:color w:val="0070C0"/>
          <w:sz w:val="28"/>
          <w:szCs w:val="28"/>
        </w:rPr>
        <w:t xml:space="preserve">Introduction </w:t>
      </w:r>
    </w:p>
    <w:p w14:paraId="47E42F0A" w14:textId="55BAD97E" w:rsidR="00F16201" w:rsidRPr="00EE3A6E" w:rsidRDefault="00F16201">
      <w:pPr>
        <w:rPr>
          <w:rFonts w:ascii="IBM Plex Sans" w:hAnsi="IBM Plex Sans"/>
          <w:sz w:val="28"/>
          <w:szCs w:val="28"/>
        </w:rPr>
      </w:pPr>
    </w:p>
    <w:p w14:paraId="0D470E86" w14:textId="396E1B74" w:rsidR="00F16201" w:rsidRPr="00EE3A6E" w:rsidRDefault="00F16201">
      <w:pPr>
        <w:rPr>
          <w:rFonts w:ascii="IBM Plex Sans" w:hAnsi="IBM Plex Sans"/>
          <w:b/>
          <w:bCs/>
          <w:sz w:val="28"/>
          <w:szCs w:val="28"/>
        </w:rPr>
      </w:pPr>
      <w:r w:rsidRPr="00EE3A6E">
        <w:rPr>
          <w:rFonts w:ascii="IBM Plex Sans" w:hAnsi="IBM Plex Sans"/>
          <w:b/>
          <w:bCs/>
          <w:noProof/>
          <w:sz w:val="28"/>
          <w:szCs w:val="28"/>
        </w:rPr>
        <mc:AlternateContent>
          <mc:Choice Requires="wps">
            <w:drawing>
              <wp:anchor distT="45720" distB="45720" distL="114300" distR="114300" simplePos="0" relativeHeight="251663360" behindDoc="0" locked="0" layoutInCell="1" allowOverlap="1" wp14:anchorId="7808373C" wp14:editId="6F590F28">
                <wp:simplePos x="0" y="0"/>
                <wp:positionH relativeFrom="margin">
                  <wp:posOffset>3530581</wp:posOffset>
                </wp:positionH>
                <wp:positionV relativeFrom="paragraph">
                  <wp:posOffset>11399</wp:posOffset>
                </wp:positionV>
                <wp:extent cx="2360930" cy="1404620"/>
                <wp:effectExtent l="0" t="0" r="381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C3510B8" w14:textId="6DE83EF3" w:rsidR="00F16201" w:rsidRPr="00F16201" w:rsidRDefault="00F16201" w:rsidP="00F16201">
                            <w:pPr>
                              <w:rPr>
                                <w:rFonts w:ascii="IBM Plex Sans" w:hAnsi="IBM Plex Sans"/>
                                <w:b/>
                                <w:bCs/>
                                <w:sz w:val="32"/>
                                <w:szCs w:val="32"/>
                              </w:rPr>
                            </w:pPr>
                            <w:r>
                              <w:rPr>
                                <w:rFonts w:ascii="IBM Plex Sans" w:hAnsi="IBM Plex Sans"/>
                                <w:b/>
                                <w:bCs/>
                                <w:sz w:val="32"/>
                                <w:szCs w:val="32"/>
                              </w:rPr>
                              <w:t>2</w:t>
                            </w:r>
                            <w:r w:rsidR="00BF632B">
                              <w:rPr>
                                <w:rFonts w:ascii="IBM Plex Sans" w:hAnsi="IBM Plex Sans"/>
                                <w:b/>
                                <w:bCs/>
                                <w:sz w:val="32"/>
                                <w:szCs w:val="32"/>
                              </w:rPr>
                              <w:t>1</w:t>
                            </w:r>
                          </w:p>
                          <w:p w14:paraId="5ACF326B" w14:textId="7A8D8A3D"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Conclusions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08373C" id="_x0000_s1028" type="#_x0000_t202" style="position:absolute;margin-left:278pt;margin-top:.9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" stroked="f">
                <v:textbox style="mso-fit-shape-to-text:t">
                  <w:txbxContent>
                    <w:p w14:paraId="3C3510B8" w14:textId="6DE83EF3" w:rsidR="00F16201" w:rsidRPr="00F16201" w:rsidRDefault="00F16201" w:rsidP="00F16201">
                      <w:pPr>
                        <w:rPr>
                          <w:rFonts w:ascii="IBM Plex Sans" w:hAnsi="IBM Plex Sans"/>
                          <w:b/>
                          <w:bCs/>
                          <w:sz w:val="32"/>
                          <w:szCs w:val="32"/>
                        </w:rPr>
                      </w:pPr>
                      <w:r>
                        <w:rPr>
                          <w:rFonts w:ascii="IBM Plex Sans" w:hAnsi="IBM Plex Sans"/>
                          <w:b/>
                          <w:bCs/>
                          <w:sz w:val="32"/>
                          <w:szCs w:val="32"/>
                        </w:rPr>
                        <w:t>2</w:t>
                      </w:r>
                      <w:r w:rsidR="00BF632B">
                        <w:rPr>
                          <w:rFonts w:ascii="IBM Plex Sans" w:hAnsi="IBM Plex Sans"/>
                          <w:b/>
                          <w:bCs/>
                          <w:sz w:val="32"/>
                          <w:szCs w:val="32"/>
                        </w:rPr>
                        <w:t>1</w:t>
                      </w:r>
                    </w:p>
                    <w:p w14:paraId="5ACF326B" w14:textId="7A8D8A3D"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Conclusions</w:t>
                      </w:r>
                    </w:p>
                  </w:txbxContent>
                </v:textbox>
                <w10:wrap type="square" anchorx="margin"/>
              </v:shape>
            </w:pict>
          </mc:Fallback>
        </mc:AlternateContent>
      </w:r>
      <w:r w:rsidRPr="00EE3A6E">
        <w:rPr>
          <w:rFonts w:ascii="IBM Plex Sans" w:hAnsi="IBM Plex Sans"/>
          <w:b/>
          <w:bCs/>
          <w:sz w:val="28"/>
          <w:szCs w:val="28"/>
        </w:rPr>
        <w:t>0</w:t>
      </w:r>
      <w:r w:rsidR="007D11D4">
        <w:rPr>
          <w:rFonts w:ascii="IBM Plex Sans" w:hAnsi="IBM Plex Sans"/>
          <w:b/>
          <w:bCs/>
          <w:sz w:val="28"/>
          <w:szCs w:val="28"/>
        </w:rPr>
        <w:t>6</w:t>
      </w:r>
    </w:p>
    <w:p w14:paraId="45C217C1" w14:textId="77777777" w:rsidR="00F16201" w:rsidRPr="00257269" w:rsidRDefault="00F16201">
      <w:pPr>
        <w:rPr>
          <w:rFonts w:ascii="IBM Plex Sans" w:hAnsi="IBM Plex Sans"/>
          <w:b/>
          <w:bCs/>
          <w:color w:val="0070C0"/>
          <w:sz w:val="28"/>
          <w:szCs w:val="28"/>
        </w:rPr>
      </w:pPr>
      <w:r w:rsidRPr="00257269">
        <w:rPr>
          <w:rFonts w:ascii="IBM Plex Sans" w:hAnsi="IBM Plex Sans"/>
          <w:color w:val="0070C0"/>
          <w:sz w:val="28"/>
          <w:szCs w:val="28"/>
        </w:rPr>
        <w:t>Timeline &amp; Key Requirements</w:t>
      </w:r>
    </w:p>
    <w:p w14:paraId="6465B48C" w14:textId="6EEC2522" w:rsidR="00F16201" w:rsidRPr="00EE3A6E" w:rsidRDefault="00F16201">
      <w:pPr>
        <w:rPr>
          <w:rFonts w:ascii="IBM Plex Sans" w:hAnsi="IBM Plex Sans"/>
          <w:b/>
          <w:bCs/>
          <w:sz w:val="28"/>
          <w:szCs w:val="28"/>
        </w:rPr>
      </w:pPr>
      <w:r w:rsidRPr="00EE3A6E">
        <w:rPr>
          <w:rFonts w:ascii="IBM Plex Sans" w:hAnsi="IBM Plex Sans"/>
          <w:b/>
          <w:bCs/>
          <w:noProof/>
          <w:sz w:val="28"/>
          <w:szCs w:val="28"/>
        </w:rPr>
        <mc:AlternateContent>
          <mc:Choice Requires="wps">
            <w:drawing>
              <wp:anchor distT="45720" distB="45720" distL="114300" distR="114300" simplePos="0" relativeHeight="251665408" behindDoc="0" locked="0" layoutInCell="1" allowOverlap="1" wp14:anchorId="68CFB3C7" wp14:editId="077682D4">
                <wp:simplePos x="0" y="0"/>
                <wp:positionH relativeFrom="margin">
                  <wp:posOffset>3557761</wp:posOffset>
                </wp:positionH>
                <wp:positionV relativeFrom="paragraph">
                  <wp:posOffset>297255</wp:posOffset>
                </wp:positionV>
                <wp:extent cx="2360930" cy="1404620"/>
                <wp:effectExtent l="0" t="0" r="381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BE0F4F0" w14:textId="13926660" w:rsidR="00F16201" w:rsidRPr="00F16201" w:rsidRDefault="00F16201" w:rsidP="00F16201">
                            <w:pPr>
                              <w:rPr>
                                <w:rFonts w:ascii="IBM Plex Sans" w:hAnsi="IBM Plex Sans"/>
                                <w:b/>
                                <w:bCs/>
                                <w:sz w:val="32"/>
                                <w:szCs w:val="32"/>
                              </w:rPr>
                            </w:pPr>
                            <w:r>
                              <w:rPr>
                                <w:rFonts w:ascii="IBM Plex Sans" w:hAnsi="IBM Plex Sans"/>
                                <w:b/>
                                <w:bCs/>
                                <w:sz w:val="32"/>
                                <w:szCs w:val="32"/>
                              </w:rPr>
                              <w:t>2</w:t>
                            </w:r>
                            <w:r w:rsidR="00F43852">
                              <w:rPr>
                                <w:rFonts w:ascii="IBM Plex Sans" w:hAnsi="IBM Plex Sans"/>
                                <w:b/>
                                <w:bCs/>
                                <w:sz w:val="32"/>
                                <w:szCs w:val="32"/>
                              </w:rPr>
                              <w:t>2</w:t>
                            </w:r>
                          </w:p>
                          <w:p w14:paraId="402165E4" w14:textId="21A1E665"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Bibliography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CFB3C7" id="Text Box 3" o:spid="_x0000_s1029" type="#_x0000_t202" style="position:absolute;margin-left:280.15pt;margin-top:23.4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" stroked="f">
                <v:textbox style="mso-fit-shape-to-text:t">
                  <w:txbxContent>
                    <w:p w14:paraId="3BE0F4F0" w14:textId="13926660" w:rsidR="00F16201" w:rsidRPr="00F16201" w:rsidRDefault="00F16201" w:rsidP="00F16201">
                      <w:pPr>
                        <w:rPr>
                          <w:rFonts w:ascii="IBM Plex Sans" w:hAnsi="IBM Plex Sans"/>
                          <w:b/>
                          <w:bCs/>
                          <w:sz w:val="32"/>
                          <w:szCs w:val="32"/>
                        </w:rPr>
                      </w:pPr>
                      <w:r>
                        <w:rPr>
                          <w:rFonts w:ascii="IBM Plex Sans" w:hAnsi="IBM Plex Sans"/>
                          <w:b/>
                          <w:bCs/>
                          <w:sz w:val="32"/>
                          <w:szCs w:val="32"/>
                        </w:rPr>
                        <w:t>2</w:t>
                      </w:r>
                      <w:r w:rsidR="00F43852">
                        <w:rPr>
                          <w:rFonts w:ascii="IBM Plex Sans" w:hAnsi="IBM Plex Sans"/>
                          <w:b/>
                          <w:bCs/>
                          <w:sz w:val="32"/>
                          <w:szCs w:val="32"/>
                        </w:rPr>
                        <w:t>2</w:t>
                      </w:r>
                    </w:p>
                    <w:p w14:paraId="402165E4" w14:textId="21A1E665" w:rsidR="00F16201" w:rsidRPr="002C7321" w:rsidRDefault="00F16201" w:rsidP="00F16201">
                      <w:pPr>
                        <w:rPr>
                          <w:rFonts w:ascii="IBM Plex Sans" w:hAnsi="IBM Plex Sans"/>
                          <w:color w:val="0070C0"/>
                          <w:sz w:val="28"/>
                          <w:szCs w:val="28"/>
                        </w:rPr>
                      </w:pPr>
                      <w:r w:rsidRPr="002C7321">
                        <w:rPr>
                          <w:rFonts w:ascii="IBM Plex Sans" w:hAnsi="IBM Plex Sans"/>
                          <w:color w:val="0070C0"/>
                          <w:sz w:val="28"/>
                          <w:szCs w:val="28"/>
                        </w:rPr>
                        <w:t>Bibliography</w:t>
                      </w:r>
                    </w:p>
                  </w:txbxContent>
                </v:textbox>
                <w10:wrap type="square" anchorx="margin"/>
              </v:shape>
            </w:pict>
          </mc:Fallback>
        </mc:AlternateContent>
      </w:r>
    </w:p>
    <w:p w14:paraId="6A3B6E0E" w14:textId="436E5F96" w:rsidR="00F16201" w:rsidRPr="00EE3A6E" w:rsidRDefault="00F16201">
      <w:pPr>
        <w:rPr>
          <w:rFonts w:ascii="IBM Plex Sans" w:hAnsi="IBM Plex Sans"/>
          <w:sz w:val="28"/>
          <w:szCs w:val="28"/>
        </w:rPr>
      </w:pPr>
      <w:r w:rsidRPr="00EE3A6E">
        <w:rPr>
          <w:rFonts w:ascii="IBM Plex Sans" w:hAnsi="IBM Plex Sans"/>
          <w:b/>
          <w:bCs/>
          <w:sz w:val="28"/>
          <w:szCs w:val="28"/>
        </w:rPr>
        <w:t xml:space="preserve">08 </w:t>
      </w:r>
    </w:p>
    <w:p w14:paraId="38721D96" w14:textId="4590CD16" w:rsidR="00F16201" w:rsidRPr="00257269" w:rsidRDefault="00F16201">
      <w:pPr>
        <w:rPr>
          <w:rFonts w:ascii="IBM Plex Sans" w:hAnsi="IBM Plex Sans"/>
          <w:color w:val="0070C0"/>
          <w:sz w:val="28"/>
          <w:szCs w:val="28"/>
        </w:rPr>
      </w:pPr>
      <w:r w:rsidRPr="00257269">
        <w:rPr>
          <w:rFonts w:ascii="IBM Plex Sans" w:hAnsi="IBM Plex Sans"/>
          <w:color w:val="0070C0"/>
          <w:sz w:val="28"/>
          <w:szCs w:val="28"/>
        </w:rPr>
        <w:t>Impact</w:t>
      </w:r>
    </w:p>
    <w:p w14:paraId="4A9B63F1" w14:textId="5B1072DA" w:rsidR="00F16201" w:rsidRPr="00EE3A6E" w:rsidRDefault="00F16201">
      <w:pPr>
        <w:rPr>
          <w:rFonts w:ascii="IBM Plex Sans" w:hAnsi="IBM Plex Sans"/>
          <w:sz w:val="28"/>
          <w:szCs w:val="28"/>
        </w:rPr>
      </w:pPr>
    </w:p>
    <w:p w14:paraId="4DB41FEC" w14:textId="2022DF1B" w:rsidR="00F16201" w:rsidRPr="00EE3A6E" w:rsidRDefault="00F16201">
      <w:pPr>
        <w:rPr>
          <w:rFonts w:ascii="IBM Plex Sans" w:hAnsi="IBM Plex Sans"/>
          <w:b/>
          <w:bCs/>
          <w:sz w:val="28"/>
          <w:szCs w:val="28"/>
        </w:rPr>
      </w:pPr>
      <w:r w:rsidRPr="00EE3A6E">
        <w:rPr>
          <w:rFonts w:ascii="IBM Plex Sans" w:hAnsi="IBM Plex Sans"/>
          <w:b/>
          <w:bCs/>
          <w:sz w:val="28"/>
          <w:szCs w:val="28"/>
        </w:rPr>
        <w:t>1</w:t>
      </w:r>
      <w:r w:rsidR="00A149C3">
        <w:rPr>
          <w:rFonts w:ascii="IBM Plex Sans" w:hAnsi="IBM Plex Sans"/>
          <w:b/>
          <w:bCs/>
          <w:sz w:val="28"/>
          <w:szCs w:val="28"/>
        </w:rPr>
        <w:t>5</w:t>
      </w:r>
    </w:p>
    <w:p w14:paraId="6DF4DC96" w14:textId="6607F407" w:rsidR="00E65BAD" w:rsidRPr="00EE3A6E" w:rsidRDefault="00F16201">
      <w:pPr>
        <w:rPr>
          <w:rFonts w:ascii="IBM Plex Sans" w:eastAsiaTheme="majorEastAsia" w:hAnsi="IBM Plex Sans" w:cs="Segoe UI"/>
          <w:caps/>
          <w:color w:val="2F5496" w:themeColor="accent1" w:themeShade="BF"/>
        </w:rPr>
      </w:pPr>
      <w:r w:rsidRPr="00257269">
        <w:rPr>
          <w:rFonts w:ascii="IBM Plex Sans" w:hAnsi="IBM Plex Sans"/>
          <w:color w:val="0070C0"/>
          <w:sz w:val="28"/>
          <w:szCs w:val="28"/>
        </w:rPr>
        <w:t>Outlook</w:t>
      </w:r>
      <w:r w:rsidRPr="00257269">
        <w:rPr>
          <w:rFonts w:ascii="IBM Plex Sans" w:hAnsi="IBM Plex Sans"/>
        </w:rPr>
        <w:t xml:space="preserve"> </w:t>
      </w:r>
      <w:r w:rsidR="00E65BAD" w:rsidRPr="00EE3A6E">
        <w:rPr>
          <w:rFonts w:ascii="IBM Plex Sans" w:hAnsi="IBM Plex Sans"/>
        </w:rPr>
        <w:br w:type="page"/>
      </w:r>
    </w:p>
    <w:bookmarkEnd w:id="0"/>
    <w:p w14:paraId="5EA6DC57" w14:textId="46920020" w:rsidR="001116DD" w:rsidRPr="00AB3D09" w:rsidRDefault="00297FDE" w:rsidP="00A56636">
      <w:pPr>
        <w:rPr>
          <w:rFonts w:ascii="IBM Plex Sans" w:eastAsiaTheme="majorEastAsia" w:hAnsi="IBM Plex Sans" w:cstheme="majorBidi"/>
          <w:noProof/>
          <w:color w:val="0070C0"/>
          <w:sz w:val="32"/>
          <w:szCs w:val="32"/>
        </w:rPr>
      </w:pPr>
      <w:r w:rsidRPr="00AB3D09">
        <w:rPr>
          <w:rFonts w:ascii="IBM Plex Sans" w:eastAsiaTheme="majorEastAsia" w:hAnsi="IBM Plex Sans" w:cstheme="majorBidi"/>
          <w:noProof/>
          <w:color w:val="0070C0"/>
          <w:sz w:val="32"/>
          <w:szCs w:val="32"/>
        </w:rPr>
        <w:lastRenderedPageBreak/>
        <w:t>Abst</w:t>
      </w:r>
      <w:r w:rsidR="00EE12F0" w:rsidRPr="00AB3D09">
        <w:rPr>
          <w:rFonts w:ascii="IBM Plex Sans" w:eastAsiaTheme="majorEastAsia" w:hAnsi="IBM Plex Sans" w:cstheme="majorBidi"/>
          <w:noProof/>
          <w:color w:val="0070C0"/>
          <w:sz w:val="32"/>
          <w:szCs w:val="32"/>
        </w:rPr>
        <w:t xml:space="preserve">ract </w:t>
      </w:r>
    </w:p>
    <w:p w14:paraId="3C4BDF6B" w14:textId="56494416" w:rsidR="00263091" w:rsidRPr="00EE3A6E" w:rsidRDefault="00A56636" w:rsidP="001A14CC">
      <w:pPr>
        <w:jc w:val="both"/>
        <w:rPr>
          <w:rFonts w:ascii="IBM Plex Sans" w:hAnsi="IBM Plex Sans"/>
          <w:sz w:val="24"/>
          <w:szCs w:val="24"/>
        </w:rPr>
      </w:pPr>
      <w:r w:rsidRPr="00EE3A6E">
        <w:rPr>
          <w:rFonts w:ascii="IBM Plex Sans" w:hAnsi="IBM Plex Sans"/>
          <w:sz w:val="24"/>
          <w:szCs w:val="24"/>
        </w:rPr>
        <w:t>The o</w:t>
      </w:r>
      <w:r w:rsidR="003D6D5E" w:rsidRPr="00EE3A6E">
        <w:rPr>
          <w:rFonts w:ascii="IBM Plex Sans" w:hAnsi="IBM Plex Sans"/>
          <w:sz w:val="24"/>
          <w:szCs w:val="24"/>
        </w:rPr>
        <w:t xml:space="preserve">bjective </w:t>
      </w:r>
      <w:r w:rsidRPr="00EE3A6E">
        <w:rPr>
          <w:rFonts w:ascii="IBM Plex Sans" w:hAnsi="IBM Plex Sans"/>
          <w:sz w:val="24"/>
          <w:szCs w:val="24"/>
        </w:rPr>
        <w:t>was to generate a</w:t>
      </w:r>
      <w:r w:rsidR="009154FC" w:rsidRPr="00EE3A6E">
        <w:rPr>
          <w:rFonts w:ascii="IBM Plex Sans" w:hAnsi="IBM Plex Sans"/>
          <w:sz w:val="24"/>
          <w:szCs w:val="24"/>
        </w:rPr>
        <w:t xml:space="preserve"> whitepaper </w:t>
      </w:r>
      <w:r w:rsidRPr="00EE3A6E">
        <w:rPr>
          <w:rFonts w:ascii="IBM Plex Sans" w:hAnsi="IBM Plex Sans"/>
          <w:sz w:val="24"/>
          <w:szCs w:val="24"/>
        </w:rPr>
        <w:t>on</w:t>
      </w:r>
      <w:r w:rsidR="009154FC" w:rsidRPr="00EE3A6E">
        <w:rPr>
          <w:rFonts w:ascii="IBM Plex Sans" w:hAnsi="IBM Plex Sans"/>
          <w:sz w:val="24"/>
          <w:szCs w:val="24"/>
        </w:rPr>
        <w:t xml:space="preserve"> FERC </w:t>
      </w:r>
      <w:r w:rsidRPr="00EE3A6E">
        <w:rPr>
          <w:rFonts w:ascii="IBM Plex Sans" w:hAnsi="IBM Plex Sans"/>
          <w:sz w:val="24"/>
          <w:szCs w:val="24"/>
        </w:rPr>
        <w:t xml:space="preserve">Order </w:t>
      </w:r>
      <w:r w:rsidR="009154FC" w:rsidRPr="00EE3A6E">
        <w:rPr>
          <w:rFonts w:ascii="IBM Plex Sans" w:hAnsi="IBM Plex Sans"/>
          <w:sz w:val="24"/>
          <w:szCs w:val="24"/>
        </w:rPr>
        <w:t xml:space="preserve">2222 using Generative AI </w:t>
      </w:r>
      <w:r w:rsidRPr="00EE3A6E">
        <w:rPr>
          <w:rFonts w:ascii="IBM Plex Sans" w:hAnsi="IBM Plex Sans"/>
          <w:sz w:val="24"/>
          <w:szCs w:val="24"/>
        </w:rPr>
        <w:t>technology</w:t>
      </w:r>
      <w:r w:rsidR="009154FC" w:rsidRPr="00EE3A6E">
        <w:rPr>
          <w:rFonts w:ascii="IBM Plex Sans" w:hAnsi="IBM Plex Sans"/>
          <w:sz w:val="24"/>
          <w:szCs w:val="24"/>
        </w:rPr>
        <w:t xml:space="preserve">. </w:t>
      </w:r>
      <w:r w:rsidRPr="00EE3A6E">
        <w:rPr>
          <w:rFonts w:ascii="IBM Plex Sans" w:hAnsi="IBM Plex Sans"/>
          <w:sz w:val="24"/>
          <w:szCs w:val="24"/>
        </w:rPr>
        <w:t>It is</w:t>
      </w:r>
      <w:r w:rsidR="009154FC" w:rsidRPr="00EE3A6E">
        <w:rPr>
          <w:rFonts w:ascii="IBM Plex Sans" w:hAnsi="IBM Plex Sans"/>
          <w:sz w:val="24"/>
          <w:szCs w:val="24"/>
        </w:rPr>
        <w:t xml:space="preserve"> widely believed that</w:t>
      </w:r>
      <w:r w:rsidR="00263091" w:rsidRPr="00EE3A6E">
        <w:rPr>
          <w:rFonts w:ascii="IBM Plex Sans" w:hAnsi="IBM Plex Sans"/>
          <w:sz w:val="24"/>
          <w:szCs w:val="24"/>
        </w:rPr>
        <w:t xml:space="preserve"> </w:t>
      </w:r>
      <w:r w:rsidRPr="00EE3A6E">
        <w:rPr>
          <w:rFonts w:ascii="IBM Plex Sans" w:hAnsi="IBM Plex Sans"/>
          <w:sz w:val="24"/>
          <w:szCs w:val="24"/>
        </w:rPr>
        <w:t>Gen</w:t>
      </w:r>
      <w:r w:rsidR="00553C8B" w:rsidRPr="00EE3A6E">
        <w:rPr>
          <w:rFonts w:ascii="IBM Plex Sans" w:hAnsi="IBM Plex Sans"/>
          <w:sz w:val="24"/>
          <w:szCs w:val="24"/>
        </w:rPr>
        <w:t xml:space="preserve">erative </w:t>
      </w:r>
      <w:r w:rsidRPr="00EE3A6E">
        <w:rPr>
          <w:rFonts w:ascii="IBM Plex Sans" w:hAnsi="IBM Plex Sans"/>
          <w:sz w:val="24"/>
          <w:szCs w:val="24"/>
        </w:rPr>
        <w:t>AI</w:t>
      </w:r>
      <w:r w:rsidR="00263091" w:rsidRPr="00EE3A6E">
        <w:rPr>
          <w:rFonts w:ascii="IBM Plex Sans" w:hAnsi="IBM Plex Sans"/>
          <w:sz w:val="24"/>
          <w:szCs w:val="24"/>
        </w:rPr>
        <w:t xml:space="preserve"> technologies are </w:t>
      </w:r>
      <w:r w:rsidR="009154FC" w:rsidRPr="00EE3A6E">
        <w:rPr>
          <w:rFonts w:ascii="IBM Plex Sans" w:hAnsi="IBM Plex Sans"/>
          <w:sz w:val="24"/>
          <w:szCs w:val="24"/>
        </w:rPr>
        <w:t xml:space="preserve">capable of collating widespread information on any </w:t>
      </w:r>
      <w:r w:rsidR="00263091" w:rsidRPr="00EE3A6E">
        <w:rPr>
          <w:rFonts w:ascii="IBM Plex Sans" w:hAnsi="IBM Plex Sans"/>
          <w:sz w:val="24"/>
          <w:szCs w:val="24"/>
        </w:rPr>
        <w:t xml:space="preserve">enquired / prompted topic </w:t>
      </w:r>
      <w:r w:rsidR="009154FC" w:rsidRPr="00EE3A6E">
        <w:rPr>
          <w:rFonts w:ascii="IBM Plex Sans" w:hAnsi="IBM Plex Sans"/>
          <w:sz w:val="24"/>
          <w:szCs w:val="24"/>
        </w:rPr>
        <w:t>and present it in choice of structure.</w:t>
      </w:r>
      <w:r w:rsidR="00CC6DA1" w:rsidRPr="00EE3A6E">
        <w:rPr>
          <w:rFonts w:ascii="IBM Plex Sans" w:hAnsi="IBM Plex Sans"/>
          <w:sz w:val="24"/>
          <w:szCs w:val="24"/>
        </w:rPr>
        <w:t xml:space="preserve"> </w:t>
      </w:r>
      <w:r w:rsidRPr="00EE3A6E">
        <w:rPr>
          <w:rFonts w:ascii="IBM Plex Sans" w:hAnsi="IBM Plex Sans"/>
          <w:sz w:val="24"/>
          <w:szCs w:val="24"/>
        </w:rPr>
        <w:t>This</w:t>
      </w:r>
      <w:r w:rsidR="00CC6DA1" w:rsidRPr="00EE3A6E">
        <w:rPr>
          <w:rFonts w:ascii="IBM Plex Sans" w:hAnsi="IBM Plex Sans"/>
          <w:sz w:val="24"/>
          <w:szCs w:val="24"/>
        </w:rPr>
        <w:t xml:space="preserve"> whitepaper</w:t>
      </w:r>
      <w:r w:rsidRPr="00EE3A6E">
        <w:rPr>
          <w:rFonts w:ascii="IBM Plex Sans" w:hAnsi="IBM Plex Sans"/>
          <w:sz w:val="24"/>
          <w:szCs w:val="24"/>
        </w:rPr>
        <w:t xml:space="preserve"> validates the </w:t>
      </w:r>
      <w:r w:rsidR="00CC6DA1" w:rsidRPr="00EE3A6E">
        <w:rPr>
          <w:rFonts w:ascii="IBM Plex Sans" w:hAnsi="IBM Plex Sans"/>
          <w:sz w:val="24"/>
          <w:szCs w:val="24"/>
        </w:rPr>
        <w:t>approach</w:t>
      </w:r>
      <w:r w:rsidR="002354A3" w:rsidRPr="00EE3A6E">
        <w:rPr>
          <w:rFonts w:ascii="IBM Plex Sans" w:hAnsi="IBM Plex Sans"/>
          <w:sz w:val="24"/>
          <w:szCs w:val="24"/>
        </w:rPr>
        <w:t xml:space="preserve">. </w:t>
      </w:r>
      <w:r w:rsidRPr="00EE3A6E">
        <w:rPr>
          <w:rFonts w:ascii="IBM Plex Sans" w:hAnsi="IBM Plex Sans"/>
          <w:sz w:val="24"/>
          <w:szCs w:val="24"/>
        </w:rPr>
        <w:t>The authors of this whitepaper</w:t>
      </w:r>
      <w:r w:rsidR="00263091" w:rsidRPr="00EE3A6E">
        <w:rPr>
          <w:rFonts w:ascii="IBM Plex Sans" w:hAnsi="IBM Plex Sans"/>
          <w:sz w:val="24"/>
          <w:szCs w:val="24"/>
        </w:rPr>
        <w:t xml:space="preserve"> have familiarity with </w:t>
      </w:r>
      <w:r w:rsidR="00553C8B" w:rsidRPr="00EE3A6E">
        <w:rPr>
          <w:rFonts w:ascii="IBM Plex Sans" w:hAnsi="IBM Plex Sans"/>
          <w:sz w:val="24"/>
          <w:szCs w:val="24"/>
        </w:rPr>
        <w:t xml:space="preserve">FERC Order 2222 and </w:t>
      </w:r>
      <w:r w:rsidR="00FB5B81">
        <w:rPr>
          <w:rFonts w:ascii="IBM Plex Sans" w:hAnsi="IBM Plex Sans"/>
          <w:sz w:val="24"/>
          <w:szCs w:val="24"/>
        </w:rPr>
        <w:t>structured</w:t>
      </w:r>
      <w:r w:rsidR="00553C8B" w:rsidRPr="00EE3A6E">
        <w:rPr>
          <w:rFonts w:ascii="IBM Plex Sans" w:hAnsi="IBM Plex Sans"/>
          <w:sz w:val="24"/>
          <w:szCs w:val="24"/>
        </w:rPr>
        <w:t xml:space="preserve"> the content generated by GenAI</w:t>
      </w:r>
      <w:r w:rsidR="00263091" w:rsidRPr="00EE3A6E">
        <w:rPr>
          <w:rFonts w:ascii="IBM Plex Sans" w:hAnsi="IBM Plex Sans"/>
          <w:sz w:val="24"/>
          <w:szCs w:val="24"/>
        </w:rPr>
        <w:t xml:space="preserve">. </w:t>
      </w:r>
      <w:r w:rsidR="00553C8B" w:rsidRPr="00EE3A6E">
        <w:rPr>
          <w:rFonts w:ascii="IBM Plex Sans" w:hAnsi="IBM Plex Sans"/>
          <w:sz w:val="24"/>
          <w:szCs w:val="24"/>
        </w:rPr>
        <w:t>The team captured their</w:t>
      </w:r>
      <w:r w:rsidR="00263091" w:rsidRPr="00EE3A6E">
        <w:rPr>
          <w:rFonts w:ascii="IBM Plex Sans" w:hAnsi="IBM Plex Sans"/>
          <w:sz w:val="24"/>
          <w:szCs w:val="24"/>
        </w:rPr>
        <w:t xml:space="preserve"> </w:t>
      </w:r>
      <w:r w:rsidR="00553C8B" w:rsidRPr="00EE3A6E">
        <w:rPr>
          <w:rFonts w:ascii="IBM Plex Sans" w:hAnsi="IBM Plex Sans"/>
          <w:sz w:val="24"/>
          <w:szCs w:val="24"/>
        </w:rPr>
        <w:t>use of a</w:t>
      </w:r>
      <w:r w:rsidR="00263091" w:rsidRPr="00EE3A6E">
        <w:rPr>
          <w:rFonts w:ascii="IBM Plex Sans" w:hAnsi="IBM Plex Sans"/>
          <w:sz w:val="24"/>
          <w:szCs w:val="24"/>
        </w:rPr>
        <w:t xml:space="preserve"> variety </w:t>
      </w:r>
      <w:r w:rsidR="007A52A1" w:rsidRPr="00EE3A6E">
        <w:rPr>
          <w:rFonts w:ascii="IBM Plex Sans" w:hAnsi="IBM Plex Sans"/>
          <w:sz w:val="24"/>
          <w:szCs w:val="24"/>
        </w:rPr>
        <w:t>of prompts</w:t>
      </w:r>
      <w:r w:rsidR="00263091" w:rsidRPr="00EE3A6E">
        <w:rPr>
          <w:rFonts w:ascii="IBM Plex Sans" w:hAnsi="IBM Plex Sans"/>
          <w:sz w:val="24"/>
          <w:szCs w:val="24"/>
        </w:rPr>
        <w:t xml:space="preserve"> to extract </w:t>
      </w:r>
      <w:r w:rsidR="00553C8B" w:rsidRPr="00EE3A6E">
        <w:rPr>
          <w:rFonts w:ascii="IBM Plex Sans" w:hAnsi="IBM Plex Sans"/>
          <w:sz w:val="24"/>
          <w:szCs w:val="24"/>
        </w:rPr>
        <w:t xml:space="preserve">the correct </w:t>
      </w:r>
      <w:r w:rsidR="00263091" w:rsidRPr="00EE3A6E">
        <w:rPr>
          <w:rFonts w:ascii="IBM Plex Sans" w:hAnsi="IBM Plex Sans"/>
          <w:sz w:val="24"/>
          <w:szCs w:val="24"/>
        </w:rPr>
        <w:t>content</w:t>
      </w:r>
      <w:r w:rsidR="00553C8B" w:rsidRPr="00EE3A6E">
        <w:rPr>
          <w:rFonts w:ascii="IBM Plex Sans" w:hAnsi="IBM Plex Sans"/>
          <w:sz w:val="24"/>
          <w:szCs w:val="24"/>
        </w:rPr>
        <w:t xml:space="preserve">. </w:t>
      </w:r>
      <w:r w:rsidR="00DA0736" w:rsidRPr="00EE3A6E">
        <w:rPr>
          <w:rFonts w:ascii="IBM Plex Sans" w:hAnsi="IBM Plex Sans"/>
          <w:sz w:val="24"/>
          <w:szCs w:val="24"/>
        </w:rPr>
        <w:t>Almost</w:t>
      </w:r>
      <w:r w:rsidR="00B55111" w:rsidRPr="00EE3A6E">
        <w:rPr>
          <w:rFonts w:ascii="IBM Plex Sans" w:hAnsi="IBM Plex Sans"/>
          <w:sz w:val="24"/>
          <w:szCs w:val="24"/>
        </w:rPr>
        <w:t xml:space="preserve"> 90% of this whitepaper</w:t>
      </w:r>
      <w:r w:rsidR="00553C8B" w:rsidRPr="00EE3A6E">
        <w:rPr>
          <w:rFonts w:ascii="IBM Plex Sans" w:hAnsi="IBM Plex Sans"/>
          <w:sz w:val="24"/>
          <w:szCs w:val="24"/>
        </w:rPr>
        <w:t>’s</w:t>
      </w:r>
      <w:r w:rsidR="00B55111" w:rsidRPr="00EE3A6E">
        <w:rPr>
          <w:rFonts w:ascii="IBM Plex Sans" w:hAnsi="IBM Plex Sans"/>
          <w:sz w:val="24"/>
          <w:szCs w:val="24"/>
        </w:rPr>
        <w:t xml:space="preserve"> content </w:t>
      </w:r>
      <w:r w:rsidR="00DA0736" w:rsidRPr="00EE3A6E">
        <w:rPr>
          <w:rFonts w:ascii="IBM Plex Sans" w:hAnsi="IBM Plex Sans"/>
          <w:sz w:val="24"/>
          <w:szCs w:val="24"/>
        </w:rPr>
        <w:t>is</w:t>
      </w:r>
      <w:r w:rsidR="00B55111" w:rsidRPr="00EE3A6E">
        <w:rPr>
          <w:rFonts w:ascii="IBM Plex Sans" w:hAnsi="IBM Plex Sans"/>
          <w:sz w:val="24"/>
          <w:szCs w:val="24"/>
        </w:rPr>
        <w:t xml:space="preserve"> generated using Generative AI.  </w:t>
      </w:r>
    </w:p>
    <w:p w14:paraId="08E814E8" w14:textId="35FBB2B7" w:rsidR="009154FC" w:rsidRPr="00EE3A6E" w:rsidRDefault="00904301" w:rsidP="001A14CC">
      <w:pPr>
        <w:jc w:val="both"/>
        <w:rPr>
          <w:rFonts w:ascii="IBM Plex Sans" w:hAnsi="IBM Plex Sans"/>
          <w:sz w:val="24"/>
          <w:szCs w:val="24"/>
        </w:rPr>
      </w:pPr>
      <w:r w:rsidRPr="00EE3A6E">
        <w:rPr>
          <w:rFonts w:ascii="IBM Plex Sans" w:hAnsi="IBM Plex Sans"/>
          <w:sz w:val="24"/>
          <w:szCs w:val="24"/>
        </w:rPr>
        <w:t xml:space="preserve">OpenAI </w:t>
      </w:r>
      <w:r w:rsidR="009F273F" w:rsidRPr="00EE3A6E">
        <w:rPr>
          <w:rFonts w:ascii="IBM Plex Sans" w:hAnsi="IBM Plex Sans"/>
          <w:sz w:val="24"/>
          <w:szCs w:val="24"/>
        </w:rPr>
        <w:t>responded</w:t>
      </w:r>
      <w:r w:rsidRPr="00EE3A6E">
        <w:rPr>
          <w:rFonts w:ascii="IBM Plex Sans" w:hAnsi="IBM Plex Sans"/>
          <w:sz w:val="24"/>
          <w:szCs w:val="24"/>
        </w:rPr>
        <w:t xml:space="preserve"> to most of our queries </w:t>
      </w:r>
      <w:r w:rsidR="000F33D0" w:rsidRPr="00EE3A6E">
        <w:rPr>
          <w:rFonts w:ascii="IBM Plex Sans" w:hAnsi="IBM Plex Sans"/>
          <w:sz w:val="24"/>
          <w:szCs w:val="24"/>
        </w:rPr>
        <w:t xml:space="preserve">on the topic of interest </w:t>
      </w:r>
      <w:r w:rsidRPr="00EE3A6E">
        <w:rPr>
          <w:rFonts w:ascii="IBM Plex Sans" w:hAnsi="IBM Plex Sans"/>
          <w:sz w:val="24"/>
          <w:szCs w:val="24"/>
        </w:rPr>
        <w:t xml:space="preserve">and smartly </w:t>
      </w:r>
      <w:r w:rsidR="002D5909" w:rsidRPr="00EE3A6E">
        <w:rPr>
          <w:rFonts w:ascii="IBM Plex Sans" w:hAnsi="IBM Plex Sans"/>
          <w:sz w:val="24"/>
          <w:szCs w:val="24"/>
        </w:rPr>
        <w:t>process</w:t>
      </w:r>
      <w:r w:rsidR="00BD1561" w:rsidRPr="00EE3A6E">
        <w:rPr>
          <w:rFonts w:ascii="IBM Plex Sans" w:hAnsi="IBM Plex Sans"/>
          <w:sz w:val="24"/>
          <w:szCs w:val="24"/>
        </w:rPr>
        <w:t>ed</w:t>
      </w:r>
      <w:r w:rsidRPr="00EE3A6E">
        <w:rPr>
          <w:rFonts w:ascii="IBM Plex Sans" w:hAnsi="IBM Plex Sans"/>
          <w:sz w:val="24"/>
          <w:szCs w:val="24"/>
        </w:rPr>
        <w:t xml:space="preserve"> information</w:t>
      </w:r>
      <w:r w:rsidR="002D5909" w:rsidRPr="00EE3A6E">
        <w:rPr>
          <w:rFonts w:ascii="IBM Plex Sans" w:hAnsi="IBM Plex Sans"/>
          <w:sz w:val="24"/>
          <w:szCs w:val="24"/>
        </w:rPr>
        <w:t xml:space="preserve"> from </w:t>
      </w:r>
      <w:r w:rsidR="002738E4" w:rsidRPr="00EE3A6E">
        <w:rPr>
          <w:rFonts w:ascii="IBM Plex Sans" w:hAnsi="IBM Plex Sans"/>
          <w:sz w:val="24"/>
          <w:szCs w:val="24"/>
        </w:rPr>
        <w:t>various sources</w:t>
      </w:r>
      <w:r w:rsidRPr="00EE3A6E">
        <w:rPr>
          <w:rFonts w:ascii="IBM Plex Sans" w:hAnsi="IBM Plex Sans"/>
          <w:sz w:val="24"/>
          <w:szCs w:val="24"/>
        </w:rPr>
        <w:t xml:space="preserve"> </w:t>
      </w:r>
      <w:r w:rsidR="009F273F" w:rsidRPr="00EE3A6E">
        <w:rPr>
          <w:rFonts w:ascii="IBM Plex Sans" w:hAnsi="IBM Plex Sans"/>
          <w:sz w:val="24"/>
          <w:szCs w:val="24"/>
        </w:rPr>
        <w:t>to generate</w:t>
      </w:r>
      <w:r w:rsidRPr="00EE3A6E">
        <w:rPr>
          <w:rFonts w:ascii="IBM Plex Sans" w:hAnsi="IBM Plex Sans"/>
          <w:sz w:val="24"/>
          <w:szCs w:val="24"/>
        </w:rPr>
        <w:t xml:space="preserve"> relevant </w:t>
      </w:r>
      <w:r w:rsidR="00AA33D7" w:rsidRPr="00EE3A6E">
        <w:rPr>
          <w:rFonts w:ascii="IBM Plex Sans" w:hAnsi="IBM Plex Sans"/>
          <w:sz w:val="24"/>
          <w:szCs w:val="24"/>
        </w:rPr>
        <w:t>context-based</w:t>
      </w:r>
      <w:r w:rsidRPr="00EE3A6E">
        <w:rPr>
          <w:rFonts w:ascii="IBM Plex Sans" w:hAnsi="IBM Plex Sans"/>
          <w:sz w:val="24"/>
          <w:szCs w:val="24"/>
        </w:rPr>
        <w:t xml:space="preserve"> information. </w:t>
      </w:r>
      <w:r w:rsidR="009F273F" w:rsidRPr="00EE3A6E">
        <w:rPr>
          <w:rFonts w:ascii="IBM Plex Sans" w:hAnsi="IBM Plex Sans"/>
          <w:sz w:val="24"/>
          <w:szCs w:val="24"/>
        </w:rPr>
        <w:t>While it did not</w:t>
      </w:r>
      <w:r w:rsidR="002E5AAC" w:rsidRPr="00EE3A6E">
        <w:rPr>
          <w:rFonts w:ascii="IBM Plex Sans" w:hAnsi="IBM Plex Sans"/>
          <w:sz w:val="24"/>
          <w:szCs w:val="24"/>
        </w:rPr>
        <w:t xml:space="preserve"> write the entire whitepaper</w:t>
      </w:r>
      <w:r w:rsidR="009F273F" w:rsidRPr="00EE3A6E">
        <w:rPr>
          <w:rFonts w:ascii="IBM Plex Sans" w:hAnsi="IBM Plex Sans"/>
          <w:sz w:val="24"/>
          <w:szCs w:val="24"/>
        </w:rPr>
        <w:t>,</w:t>
      </w:r>
      <w:r w:rsidR="002E5AAC" w:rsidRPr="00EE3A6E">
        <w:rPr>
          <w:rFonts w:ascii="IBM Plex Sans" w:hAnsi="IBM Plex Sans"/>
          <w:sz w:val="24"/>
          <w:szCs w:val="24"/>
        </w:rPr>
        <w:t xml:space="preserve"> it </w:t>
      </w:r>
      <w:r w:rsidR="00DA0736" w:rsidRPr="00EE3A6E">
        <w:rPr>
          <w:rFonts w:ascii="IBM Plex Sans" w:hAnsi="IBM Plex Sans"/>
          <w:sz w:val="24"/>
          <w:szCs w:val="24"/>
        </w:rPr>
        <w:t>was</w:t>
      </w:r>
      <w:r w:rsidR="002E5AAC" w:rsidRPr="00EE3A6E">
        <w:rPr>
          <w:rFonts w:ascii="IBM Plex Sans" w:hAnsi="IBM Plex Sans"/>
          <w:sz w:val="24"/>
          <w:szCs w:val="24"/>
        </w:rPr>
        <w:t xml:space="preserve"> able to suggest some of the table of contents. </w:t>
      </w:r>
      <w:r w:rsidR="00F60094" w:rsidRPr="00EE3A6E">
        <w:rPr>
          <w:rFonts w:ascii="IBM Plex Sans" w:hAnsi="IBM Plex Sans"/>
          <w:sz w:val="24"/>
          <w:szCs w:val="24"/>
        </w:rPr>
        <w:t xml:space="preserve">We </w:t>
      </w:r>
      <w:r w:rsidR="009F273F" w:rsidRPr="00EE3A6E">
        <w:rPr>
          <w:rFonts w:ascii="IBM Plex Sans" w:hAnsi="IBM Plex Sans"/>
          <w:sz w:val="24"/>
          <w:szCs w:val="24"/>
        </w:rPr>
        <w:t>must</w:t>
      </w:r>
      <w:r w:rsidR="00F60094" w:rsidRPr="00EE3A6E">
        <w:rPr>
          <w:rFonts w:ascii="IBM Plex Sans" w:hAnsi="IBM Plex Sans"/>
          <w:sz w:val="24"/>
          <w:szCs w:val="24"/>
        </w:rPr>
        <w:t xml:space="preserve"> change various prompts and train the model </w:t>
      </w:r>
      <w:r w:rsidR="003C6A67" w:rsidRPr="00EE3A6E">
        <w:rPr>
          <w:rFonts w:ascii="IBM Plex Sans" w:hAnsi="IBM Plex Sans"/>
          <w:sz w:val="24"/>
          <w:szCs w:val="24"/>
        </w:rPr>
        <w:t xml:space="preserve">with </w:t>
      </w:r>
      <w:r w:rsidR="009F273F" w:rsidRPr="00EE3A6E">
        <w:rPr>
          <w:rFonts w:ascii="IBM Plex Sans" w:hAnsi="IBM Plex Sans"/>
          <w:sz w:val="24"/>
          <w:szCs w:val="24"/>
        </w:rPr>
        <w:t>correct</w:t>
      </w:r>
      <w:r w:rsidR="003C6A67" w:rsidRPr="00EE3A6E">
        <w:rPr>
          <w:rFonts w:ascii="IBM Plex Sans" w:hAnsi="IBM Plex Sans"/>
          <w:sz w:val="24"/>
          <w:szCs w:val="24"/>
        </w:rPr>
        <w:t xml:space="preserve"> inputs </w:t>
      </w:r>
      <w:proofErr w:type="gramStart"/>
      <w:r w:rsidR="00F60094" w:rsidRPr="00EE3A6E">
        <w:rPr>
          <w:rFonts w:ascii="IBM Plex Sans" w:hAnsi="IBM Plex Sans"/>
          <w:sz w:val="24"/>
          <w:szCs w:val="24"/>
        </w:rPr>
        <w:t>in o</w:t>
      </w:r>
      <w:r w:rsidR="00DA0736" w:rsidRPr="00EE3A6E">
        <w:rPr>
          <w:rFonts w:ascii="IBM Plex Sans" w:hAnsi="IBM Plex Sans"/>
          <w:sz w:val="24"/>
          <w:szCs w:val="24"/>
        </w:rPr>
        <w:t>r</w:t>
      </w:r>
      <w:r w:rsidR="00F60094" w:rsidRPr="00EE3A6E">
        <w:rPr>
          <w:rFonts w:ascii="IBM Plex Sans" w:hAnsi="IBM Plex Sans"/>
          <w:sz w:val="24"/>
          <w:szCs w:val="24"/>
        </w:rPr>
        <w:t>der to</w:t>
      </w:r>
      <w:proofErr w:type="gramEnd"/>
      <w:r w:rsidR="00F60094" w:rsidRPr="00EE3A6E">
        <w:rPr>
          <w:rFonts w:ascii="IBM Plex Sans" w:hAnsi="IBM Plex Sans"/>
          <w:sz w:val="24"/>
          <w:szCs w:val="24"/>
        </w:rPr>
        <w:t xml:space="preserve"> </w:t>
      </w:r>
      <w:r w:rsidR="009F273F" w:rsidRPr="00EE3A6E">
        <w:rPr>
          <w:rFonts w:ascii="IBM Plex Sans" w:hAnsi="IBM Plex Sans"/>
          <w:sz w:val="24"/>
          <w:szCs w:val="24"/>
        </w:rPr>
        <w:t>receive the</w:t>
      </w:r>
      <w:r w:rsidR="00F60094" w:rsidRPr="00EE3A6E">
        <w:rPr>
          <w:rFonts w:ascii="IBM Plex Sans" w:hAnsi="IBM Plex Sans"/>
          <w:sz w:val="24"/>
          <w:szCs w:val="24"/>
        </w:rPr>
        <w:t xml:space="preserve"> most relevant response. </w:t>
      </w:r>
      <w:r w:rsidR="008B5C46" w:rsidRPr="00EE3A6E">
        <w:rPr>
          <w:rFonts w:ascii="IBM Plex Sans" w:hAnsi="IBM Plex Sans"/>
          <w:sz w:val="24"/>
          <w:szCs w:val="24"/>
        </w:rPr>
        <w:t>OpenAI was</w:t>
      </w:r>
      <w:r w:rsidR="00EC2D67" w:rsidRPr="00EE3A6E">
        <w:rPr>
          <w:rFonts w:ascii="IBM Plex Sans" w:hAnsi="IBM Plex Sans"/>
          <w:sz w:val="24"/>
          <w:szCs w:val="24"/>
        </w:rPr>
        <w:t xml:space="preserve"> not able to generate </w:t>
      </w:r>
      <w:r w:rsidR="005A0183" w:rsidRPr="00EE3A6E">
        <w:rPr>
          <w:rFonts w:ascii="IBM Plex Sans" w:hAnsi="IBM Plex Sans"/>
          <w:sz w:val="24"/>
          <w:szCs w:val="24"/>
        </w:rPr>
        <w:t xml:space="preserve">images or videos </w:t>
      </w:r>
      <w:r w:rsidR="00794AF2" w:rsidRPr="00EE3A6E">
        <w:rPr>
          <w:rFonts w:ascii="IBM Plex Sans" w:hAnsi="IBM Plex Sans"/>
          <w:sz w:val="24"/>
          <w:szCs w:val="24"/>
        </w:rPr>
        <w:t>for the given context as it</w:t>
      </w:r>
      <w:r w:rsidR="009F273F" w:rsidRPr="00EE3A6E">
        <w:rPr>
          <w:rFonts w:ascii="IBM Plex Sans" w:hAnsi="IBM Plex Sans"/>
          <w:sz w:val="24"/>
          <w:szCs w:val="24"/>
        </w:rPr>
        <w:t xml:space="preserve"> is a Large Language Model (</w:t>
      </w:r>
      <w:r w:rsidR="00794AF2" w:rsidRPr="00EE3A6E">
        <w:rPr>
          <w:rFonts w:ascii="IBM Plex Sans" w:hAnsi="IBM Plex Sans"/>
          <w:sz w:val="24"/>
          <w:szCs w:val="24"/>
        </w:rPr>
        <w:t>LLM</w:t>
      </w:r>
      <w:r w:rsidR="009F273F" w:rsidRPr="00EE3A6E">
        <w:rPr>
          <w:rFonts w:ascii="IBM Plex Sans" w:hAnsi="IBM Plex Sans"/>
          <w:sz w:val="24"/>
          <w:szCs w:val="24"/>
        </w:rPr>
        <w:t>)</w:t>
      </w:r>
      <w:r w:rsidR="00794AF2" w:rsidRPr="00EE3A6E">
        <w:rPr>
          <w:rFonts w:ascii="IBM Plex Sans" w:hAnsi="IBM Plex Sans"/>
          <w:sz w:val="24"/>
          <w:szCs w:val="24"/>
        </w:rPr>
        <w:t xml:space="preserve"> engine. </w:t>
      </w:r>
      <w:r w:rsidR="009F273F" w:rsidRPr="00EE3A6E">
        <w:rPr>
          <w:rFonts w:ascii="IBM Plex Sans" w:hAnsi="IBM Plex Sans"/>
          <w:sz w:val="24"/>
          <w:szCs w:val="24"/>
        </w:rPr>
        <w:t>OpenAI</w:t>
      </w:r>
      <w:r w:rsidR="00794AF2" w:rsidRPr="00EE3A6E">
        <w:rPr>
          <w:rFonts w:ascii="IBM Plex Sans" w:hAnsi="IBM Plex Sans"/>
          <w:sz w:val="24"/>
          <w:szCs w:val="24"/>
        </w:rPr>
        <w:t xml:space="preserve"> listed various components to be part of the architecture and suggested to build architecture views. </w:t>
      </w:r>
      <w:r w:rsidR="00440EB7" w:rsidRPr="00EE3A6E">
        <w:rPr>
          <w:rFonts w:ascii="IBM Plex Sans" w:hAnsi="IBM Plex Sans"/>
          <w:sz w:val="24"/>
          <w:szCs w:val="24"/>
        </w:rPr>
        <w:t>Sometime</w:t>
      </w:r>
      <w:r w:rsidR="009F273F" w:rsidRPr="00EE3A6E">
        <w:rPr>
          <w:rFonts w:ascii="IBM Plex Sans" w:hAnsi="IBM Plex Sans"/>
          <w:sz w:val="24"/>
          <w:szCs w:val="24"/>
        </w:rPr>
        <w:t>s</w:t>
      </w:r>
      <w:r w:rsidR="00C309D4" w:rsidRPr="00EE3A6E">
        <w:rPr>
          <w:rFonts w:ascii="IBM Plex Sans" w:hAnsi="IBM Plex Sans"/>
          <w:sz w:val="24"/>
          <w:szCs w:val="24"/>
        </w:rPr>
        <w:t xml:space="preserve"> the response</w:t>
      </w:r>
      <w:r w:rsidR="00440EB7" w:rsidRPr="00EE3A6E">
        <w:rPr>
          <w:rFonts w:ascii="IBM Plex Sans" w:hAnsi="IBM Plex Sans"/>
          <w:sz w:val="24"/>
          <w:szCs w:val="24"/>
        </w:rPr>
        <w:t xml:space="preserve">s </w:t>
      </w:r>
      <w:r w:rsidR="009F273F" w:rsidRPr="00EE3A6E">
        <w:rPr>
          <w:rFonts w:ascii="IBM Plex Sans" w:hAnsi="IBM Plex Sans"/>
          <w:sz w:val="24"/>
          <w:szCs w:val="24"/>
        </w:rPr>
        <w:t xml:space="preserve">were </w:t>
      </w:r>
      <w:r w:rsidR="00C309D4" w:rsidRPr="00EE3A6E">
        <w:rPr>
          <w:rFonts w:ascii="IBM Plex Sans" w:hAnsi="IBM Plex Sans"/>
          <w:sz w:val="24"/>
          <w:szCs w:val="24"/>
        </w:rPr>
        <w:t xml:space="preserve">repeated even </w:t>
      </w:r>
      <w:r w:rsidR="00440EB7" w:rsidRPr="00EE3A6E">
        <w:rPr>
          <w:rFonts w:ascii="IBM Plex Sans" w:hAnsi="IBM Plex Sans"/>
          <w:sz w:val="24"/>
          <w:szCs w:val="24"/>
        </w:rPr>
        <w:t xml:space="preserve">with </w:t>
      </w:r>
      <w:r w:rsidR="009F273F" w:rsidRPr="00EE3A6E">
        <w:rPr>
          <w:rFonts w:ascii="IBM Plex Sans" w:hAnsi="IBM Plex Sans"/>
          <w:sz w:val="24"/>
          <w:szCs w:val="24"/>
        </w:rPr>
        <w:t xml:space="preserve">a </w:t>
      </w:r>
      <w:r w:rsidR="00440EB7" w:rsidRPr="00EE3A6E">
        <w:rPr>
          <w:rFonts w:ascii="IBM Plex Sans" w:hAnsi="IBM Plex Sans"/>
          <w:sz w:val="24"/>
          <w:szCs w:val="24"/>
        </w:rPr>
        <w:t xml:space="preserve">different set of </w:t>
      </w:r>
      <w:r w:rsidR="00C309D4" w:rsidRPr="00EE3A6E">
        <w:rPr>
          <w:rFonts w:ascii="IBM Plex Sans" w:hAnsi="IBM Plex Sans"/>
          <w:sz w:val="24"/>
          <w:szCs w:val="24"/>
        </w:rPr>
        <w:t xml:space="preserve">input </w:t>
      </w:r>
      <w:r w:rsidR="00440EB7" w:rsidRPr="00EE3A6E">
        <w:rPr>
          <w:rFonts w:ascii="IBM Plex Sans" w:hAnsi="IBM Plex Sans"/>
          <w:sz w:val="24"/>
          <w:szCs w:val="24"/>
        </w:rPr>
        <w:t>parameters</w:t>
      </w:r>
      <w:r w:rsidR="009F273F" w:rsidRPr="00EE3A6E">
        <w:rPr>
          <w:rFonts w:ascii="IBM Plex Sans" w:hAnsi="IBM Plex Sans"/>
          <w:sz w:val="24"/>
          <w:szCs w:val="24"/>
        </w:rPr>
        <w:t>.  I</w:t>
      </w:r>
      <w:r w:rsidR="00C309D4" w:rsidRPr="00EE3A6E">
        <w:rPr>
          <w:rFonts w:ascii="IBM Plex Sans" w:hAnsi="IBM Plex Sans"/>
          <w:sz w:val="24"/>
          <w:szCs w:val="24"/>
        </w:rPr>
        <w:t xml:space="preserve">t is important to </w:t>
      </w:r>
      <w:r w:rsidR="00440EB7" w:rsidRPr="00EE3A6E">
        <w:rPr>
          <w:rFonts w:ascii="IBM Plex Sans" w:hAnsi="IBM Plex Sans"/>
          <w:sz w:val="24"/>
          <w:szCs w:val="24"/>
        </w:rPr>
        <w:t xml:space="preserve">provide smart </w:t>
      </w:r>
      <w:r w:rsidR="009F273F" w:rsidRPr="00EE3A6E">
        <w:rPr>
          <w:rFonts w:ascii="IBM Plex Sans" w:hAnsi="IBM Plex Sans"/>
          <w:sz w:val="24"/>
          <w:szCs w:val="24"/>
        </w:rPr>
        <w:t>p</w:t>
      </w:r>
      <w:r w:rsidR="00440EB7" w:rsidRPr="00EE3A6E">
        <w:rPr>
          <w:rFonts w:ascii="IBM Plex Sans" w:hAnsi="IBM Plex Sans"/>
          <w:sz w:val="24"/>
          <w:szCs w:val="24"/>
        </w:rPr>
        <w:t xml:space="preserve">rompts to get an effective response from Generative AI. </w:t>
      </w:r>
      <w:r w:rsidR="00967572" w:rsidRPr="00EE3A6E">
        <w:rPr>
          <w:rFonts w:ascii="IBM Plex Sans" w:hAnsi="IBM Plex Sans"/>
          <w:sz w:val="24"/>
          <w:szCs w:val="24"/>
        </w:rPr>
        <w:t>Finally</w:t>
      </w:r>
      <w:r w:rsidR="009F273F" w:rsidRPr="00EE3A6E">
        <w:rPr>
          <w:rFonts w:ascii="IBM Plex Sans" w:hAnsi="IBM Plex Sans"/>
          <w:sz w:val="24"/>
          <w:szCs w:val="24"/>
        </w:rPr>
        <w:t>,</w:t>
      </w:r>
      <w:r w:rsidR="00967572" w:rsidRPr="00EE3A6E">
        <w:rPr>
          <w:rFonts w:ascii="IBM Plex Sans" w:hAnsi="IBM Plex Sans"/>
          <w:sz w:val="24"/>
          <w:szCs w:val="24"/>
        </w:rPr>
        <w:t xml:space="preserve"> it </w:t>
      </w:r>
      <w:r w:rsidR="00647DC9">
        <w:rPr>
          <w:rFonts w:ascii="IBM Plex Sans" w:hAnsi="IBM Plex Sans"/>
          <w:sz w:val="24"/>
          <w:szCs w:val="24"/>
        </w:rPr>
        <w:t>was</w:t>
      </w:r>
      <w:r w:rsidR="00967572" w:rsidRPr="00EE3A6E">
        <w:rPr>
          <w:rFonts w:ascii="IBM Plex Sans" w:hAnsi="IBM Plex Sans"/>
          <w:sz w:val="24"/>
          <w:szCs w:val="24"/>
        </w:rPr>
        <w:t xml:space="preserve"> </w:t>
      </w:r>
      <w:r w:rsidR="009F273F" w:rsidRPr="00EE3A6E">
        <w:rPr>
          <w:rFonts w:ascii="IBM Plex Sans" w:hAnsi="IBM Plex Sans"/>
          <w:sz w:val="24"/>
          <w:szCs w:val="24"/>
        </w:rPr>
        <w:t>humans that</w:t>
      </w:r>
      <w:r w:rsidR="00492091" w:rsidRPr="00EE3A6E">
        <w:rPr>
          <w:rFonts w:ascii="IBM Plex Sans" w:hAnsi="IBM Plex Sans"/>
          <w:sz w:val="24"/>
          <w:szCs w:val="24"/>
        </w:rPr>
        <w:t xml:space="preserve"> </w:t>
      </w:r>
      <w:r w:rsidR="009F273F" w:rsidRPr="00EE3A6E">
        <w:rPr>
          <w:rFonts w:ascii="IBM Plex Sans" w:hAnsi="IBM Plex Sans"/>
          <w:sz w:val="24"/>
          <w:szCs w:val="24"/>
        </w:rPr>
        <w:t xml:space="preserve">validated the </w:t>
      </w:r>
      <w:r w:rsidR="009856F0">
        <w:rPr>
          <w:rFonts w:ascii="IBM Plex Sans" w:hAnsi="IBM Plex Sans"/>
          <w:sz w:val="24"/>
          <w:szCs w:val="24"/>
        </w:rPr>
        <w:t>content</w:t>
      </w:r>
      <w:r w:rsidR="009F273F" w:rsidRPr="00EE3A6E">
        <w:rPr>
          <w:rFonts w:ascii="IBM Plex Sans" w:hAnsi="IBM Plex Sans"/>
          <w:sz w:val="24"/>
          <w:szCs w:val="24"/>
        </w:rPr>
        <w:t xml:space="preserve"> as well as designed and edited the paper to</w:t>
      </w:r>
      <w:r w:rsidR="00492091" w:rsidRPr="00EE3A6E">
        <w:rPr>
          <w:rFonts w:ascii="IBM Plex Sans" w:hAnsi="IBM Plex Sans"/>
          <w:sz w:val="24"/>
          <w:szCs w:val="24"/>
        </w:rPr>
        <w:t xml:space="preserve"> </w:t>
      </w:r>
      <w:r w:rsidR="009F273F" w:rsidRPr="00EE3A6E">
        <w:rPr>
          <w:rFonts w:ascii="IBM Plex Sans" w:hAnsi="IBM Plex Sans"/>
          <w:sz w:val="24"/>
          <w:szCs w:val="24"/>
        </w:rPr>
        <w:t xml:space="preserve">develop the final product. </w:t>
      </w:r>
      <w:r w:rsidR="00D21107">
        <w:rPr>
          <w:rFonts w:ascii="IBM Plex Sans" w:hAnsi="IBM Plex Sans"/>
          <w:sz w:val="24"/>
          <w:szCs w:val="24"/>
        </w:rPr>
        <w:t xml:space="preserve">It is also important to note that </w:t>
      </w:r>
      <w:r w:rsidR="00647DC9">
        <w:rPr>
          <w:rFonts w:ascii="IBM Plex Sans" w:hAnsi="IBM Plex Sans"/>
          <w:sz w:val="24"/>
          <w:szCs w:val="24"/>
        </w:rPr>
        <w:t xml:space="preserve">the </w:t>
      </w:r>
      <w:r w:rsidR="00D21107">
        <w:rPr>
          <w:rFonts w:ascii="IBM Plex Sans" w:hAnsi="IBM Plex Sans"/>
          <w:sz w:val="24"/>
          <w:szCs w:val="24"/>
        </w:rPr>
        <w:t xml:space="preserve">real-implementation experience </w:t>
      </w:r>
      <w:r w:rsidR="00757B30">
        <w:rPr>
          <w:rFonts w:ascii="IBM Plex Sans" w:hAnsi="IBM Plex Sans"/>
          <w:sz w:val="24"/>
          <w:szCs w:val="24"/>
        </w:rPr>
        <w:t>for some of the sections can be authored by humans</w:t>
      </w:r>
      <w:r w:rsidR="00647DC9">
        <w:rPr>
          <w:rFonts w:ascii="IBM Plex Sans" w:hAnsi="IBM Plex Sans"/>
          <w:sz w:val="24"/>
          <w:szCs w:val="24"/>
        </w:rPr>
        <w:t xml:space="preserve"> only</w:t>
      </w:r>
      <w:r w:rsidR="00757B30">
        <w:rPr>
          <w:rFonts w:ascii="IBM Plex Sans" w:hAnsi="IBM Plex Sans"/>
          <w:sz w:val="24"/>
          <w:szCs w:val="24"/>
        </w:rPr>
        <w:t xml:space="preserve">. </w:t>
      </w:r>
    </w:p>
    <w:p w14:paraId="7E136A55" w14:textId="31769F23" w:rsidR="00743D96" w:rsidRPr="00EE3A6E" w:rsidRDefault="00743D96" w:rsidP="001A14CC">
      <w:pPr>
        <w:jc w:val="both"/>
        <w:rPr>
          <w:rFonts w:ascii="IBM Plex Sans" w:hAnsi="IBM Plex Sans"/>
          <w:sz w:val="24"/>
          <w:szCs w:val="24"/>
        </w:rPr>
      </w:pPr>
      <w:r w:rsidRPr="00EE3A6E">
        <w:rPr>
          <w:rFonts w:ascii="IBM Plex Sans" w:hAnsi="IBM Plex Sans"/>
          <w:sz w:val="24"/>
          <w:szCs w:val="24"/>
        </w:rPr>
        <w:t xml:space="preserve">Following are some </w:t>
      </w:r>
      <w:r w:rsidR="009D4412">
        <w:rPr>
          <w:rFonts w:ascii="IBM Plex Sans" w:hAnsi="IBM Plex Sans"/>
          <w:sz w:val="24"/>
          <w:szCs w:val="24"/>
        </w:rPr>
        <w:t xml:space="preserve">key </w:t>
      </w:r>
      <w:r w:rsidRPr="00EE3A6E">
        <w:rPr>
          <w:rFonts w:ascii="IBM Plex Sans" w:hAnsi="IBM Plex Sans"/>
          <w:sz w:val="24"/>
          <w:szCs w:val="24"/>
        </w:rPr>
        <w:t xml:space="preserve">observations while using Generative AI for </w:t>
      </w:r>
      <w:r w:rsidR="007856B6" w:rsidRPr="00EE3A6E">
        <w:rPr>
          <w:rFonts w:ascii="IBM Plex Sans" w:hAnsi="IBM Plex Sans"/>
          <w:sz w:val="24"/>
          <w:szCs w:val="24"/>
        </w:rPr>
        <w:t xml:space="preserve">generating whitepaper. </w:t>
      </w:r>
    </w:p>
    <w:p w14:paraId="09B074C4" w14:textId="60607ED3" w:rsidR="007856B6" w:rsidRPr="00217A15" w:rsidRDefault="007856B6" w:rsidP="001A14CC">
      <w:pPr>
        <w:jc w:val="both"/>
        <w:rPr>
          <w:rFonts w:ascii="IBM Plex Sans" w:eastAsiaTheme="majorEastAsia" w:hAnsi="IBM Plex Sans" w:cstheme="majorBidi"/>
          <w:b/>
          <w:bCs/>
          <w:noProof/>
          <w:sz w:val="28"/>
          <w:szCs w:val="28"/>
        </w:rPr>
      </w:pPr>
      <w:r w:rsidRPr="00217A15">
        <w:rPr>
          <w:rFonts w:ascii="IBM Plex Sans" w:eastAsiaTheme="majorEastAsia" w:hAnsi="IBM Plex Sans" w:cstheme="majorBidi"/>
          <w:b/>
          <w:bCs/>
          <w:noProof/>
          <w:sz w:val="28"/>
          <w:szCs w:val="28"/>
        </w:rPr>
        <w:t>Highlights</w:t>
      </w:r>
    </w:p>
    <w:tbl>
      <w:tblPr>
        <w:tblpPr w:leftFromText="180" w:rightFromText="180" w:vertAnchor="text" w:horzAnchor="margin" w:tblpXSpec="center" w:tblpY="84"/>
        <w:tblW w:w="9265" w:type="dxa"/>
        <w:tblLook w:val="04A0" w:firstRow="1" w:lastRow="0" w:firstColumn="1" w:lastColumn="0" w:noHBand="0" w:noVBand="1"/>
      </w:tblPr>
      <w:tblGrid>
        <w:gridCol w:w="895"/>
        <w:gridCol w:w="3060"/>
        <w:gridCol w:w="5310"/>
      </w:tblGrid>
      <w:tr w:rsidR="00743D96" w:rsidRPr="004F5F08" w14:paraId="1EE80082" w14:textId="77777777" w:rsidTr="002C6F00">
        <w:trPr>
          <w:trHeight w:val="310"/>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A70C3" w14:textId="755B1EDB" w:rsidR="00743D96" w:rsidRPr="004F5F08" w:rsidRDefault="00743D96" w:rsidP="001A14CC">
            <w:pPr>
              <w:spacing w:after="0" w:line="240" w:lineRule="auto"/>
              <w:jc w:val="both"/>
              <w:rPr>
                <w:rFonts w:ascii="IBM Plex Sans" w:eastAsia="Times New Roman" w:hAnsi="IBM Plex Sans" w:cs="Calibri"/>
                <w:b/>
                <w:bCs/>
                <w:color w:val="000000"/>
                <w:sz w:val="24"/>
                <w:szCs w:val="24"/>
              </w:rPr>
            </w:pPr>
            <w:proofErr w:type="spellStart"/>
            <w:proofErr w:type="gramStart"/>
            <w:r w:rsidRPr="004F5F08">
              <w:rPr>
                <w:rFonts w:ascii="IBM Plex Sans" w:eastAsia="Times New Roman" w:hAnsi="IBM Plex Sans" w:cs="Calibri"/>
                <w:b/>
                <w:bCs/>
                <w:color w:val="000000"/>
                <w:sz w:val="24"/>
                <w:szCs w:val="24"/>
              </w:rPr>
              <w:t>S</w:t>
            </w:r>
            <w:r w:rsidR="009C18E1" w:rsidRPr="004F5F08">
              <w:rPr>
                <w:rFonts w:ascii="IBM Plex Sans" w:eastAsia="Times New Roman" w:hAnsi="IBM Plex Sans" w:cs="Calibri"/>
                <w:b/>
                <w:bCs/>
                <w:color w:val="000000"/>
                <w:sz w:val="24"/>
                <w:szCs w:val="24"/>
              </w:rPr>
              <w:t>l</w:t>
            </w:r>
            <w:r w:rsidRPr="004F5F08">
              <w:rPr>
                <w:rFonts w:ascii="IBM Plex Sans" w:eastAsia="Times New Roman" w:hAnsi="IBM Plex Sans" w:cs="Calibri"/>
                <w:b/>
                <w:bCs/>
                <w:color w:val="000000"/>
                <w:sz w:val="24"/>
                <w:szCs w:val="24"/>
              </w:rPr>
              <w:t>.No</w:t>
            </w:r>
            <w:proofErr w:type="spellEnd"/>
            <w:proofErr w:type="gramEnd"/>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14:paraId="6D94A275" w14:textId="77777777" w:rsidR="00743D96" w:rsidRPr="004F5F08" w:rsidRDefault="00743D96" w:rsidP="001A14CC">
            <w:pPr>
              <w:spacing w:after="0" w:line="240" w:lineRule="auto"/>
              <w:jc w:val="both"/>
              <w:rPr>
                <w:rFonts w:ascii="IBM Plex Sans" w:eastAsia="Times New Roman" w:hAnsi="IBM Plex Sans" w:cs="Calibri"/>
                <w:b/>
                <w:bCs/>
                <w:color w:val="000000"/>
                <w:sz w:val="24"/>
                <w:szCs w:val="24"/>
              </w:rPr>
            </w:pPr>
            <w:r w:rsidRPr="004F5F08">
              <w:rPr>
                <w:rFonts w:ascii="IBM Plex Sans" w:eastAsia="Times New Roman" w:hAnsi="IBM Plex Sans" w:cs="Calibri"/>
                <w:b/>
                <w:bCs/>
                <w:color w:val="000000"/>
                <w:sz w:val="24"/>
                <w:szCs w:val="24"/>
              </w:rPr>
              <w:t xml:space="preserve">Observation </w:t>
            </w:r>
          </w:p>
        </w:tc>
        <w:tc>
          <w:tcPr>
            <w:tcW w:w="5310" w:type="dxa"/>
            <w:tcBorders>
              <w:top w:val="single" w:sz="4" w:space="0" w:color="auto"/>
              <w:left w:val="nil"/>
              <w:bottom w:val="single" w:sz="4" w:space="0" w:color="auto"/>
              <w:right w:val="single" w:sz="4" w:space="0" w:color="auto"/>
            </w:tcBorders>
            <w:shd w:val="clear" w:color="auto" w:fill="auto"/>
            <w:noWrap/>
            <w:vAlign w:val="bottom"/>
            <w:hideMark/>
          </w:tcPr>
          <w:p w14:paraId="7A29567D" w14:textId="77777777" w:rsidR="00743D96" w:rsidRPr="004F5F08" w:rsidRDefault="00743D96" w:rsidP="001A14CC">
            <w:pPr>
              <w:spacing w:after="0" w:line="240" w:lineRule="auto"/>
              <w:jc w:val="both"/>
              <w:rPr>
                <w:rFonts w:ascii="IBM Plex Sans" w:eastAsia="Times New Roman" w:hAnsi="IBM Plex Sans" w:cs="Calibri"/>
                <w:b/>
                <w:bCs/>
                <w:color w:val="000000"/>
                <w:sz w:val="24"/>
                <w:szCs w:val="24"/>
              </w:rPr>
            </w:pPr>
            <w:r w:rsidRPr="004F5F08">
              <w:rPr>
                <w:rFonts w:ascii="IBM Plex Sans" w:eastAsia="Times New Roman" w:hAnsi="IBM Plex Sans" w:cs="Calibri"/>
                <w:b/>
                <w:bCs/>
                <w:color w:val="000000"/>
                <w:sz w:val="24"/>
                <w:szCs w:val="24"/>
              </w:rPr>
              <w:t>Learning</w:t>
            </w:r>
          </w:p>
        </w:tc>
      </w:tr>
      <w:tr w:rsidR="007856B6" w:rsidRPr="004F5F08" w14:paraId="505EF906" w14:textId="77777777" w:rsidTr="002C6F00">
        <w:trPr>
          <w:trHeight w:val="31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56841E2" w14:textId="77777777"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1</w:t>
            </w:r>
          </w:p>
        </w:tc>
        <w:tc>
          <w:tcPr>
            <w:tcW w:w="3060" w:type="dxa"/>
            <w:tcBorders>
              <w:top w:val="nil"/>
              <w:left w:val="nil"/>
              <w:bottom w:val="single" w:sz="4" w:space="0" w:color="auto"/>
              <w:right w:val="single" w:sz="4" w:space="0" w:color="auto"/>
            </w:tcBorders>
            <w:shd w:val="clear" w:color="auto" w:fill="auto"/>
            <w:noWrap/>
            <w:vAlign w:val="bottom"/>
            <w:hideMark/>
          </w:tcPr>
          <w:p w14:paraId="4BB45FF4" w14:textId="2265359D"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Concise Content</w:t>
            </w:r>
          </w:p>
        </w:tc>
        <w:tc>
          <w:tcPr>
            <w:tcW w:w="5310" w:type="dxa"/>
            <w:tcBorders>
              <w:top w:val="nil"/>
              <w:left w:val="nil"/>
              <w:bottom w:val="single" w:sz="4" w:space="0" w:color="auto"/>
              <w:right w:val="single" w:sz="4" w:space="0" w:color="auto"/>
            </w:tcBorders>
            <w:shd w:val="clear" w:color="auto" w:fill="auto"/>
            <w:noWrap/>
            <w:vAlign w:val="bottom"/>
            <w:hideMark/>
          </w:tcPr>
          <w:p w14:paraId="61D20036" w14:textId="3EBD704B" w:rsidR="00743D96" w:rsidRPr="004F5F08" w:rsidRDefault="00743D96" w:rsidP="009D4412">
            <w:pPr>
              <w:spacing w:after="0" w:line="240" w:lineRule="auto"/>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Returned content in most cases were concise and it appeared to have well-constructed and can be used as-is for whitepaper</w:t>
            </w:r>
          </w:p>
        </w:tc>
      </w:tr>
      <w:tr w:rsidR="007856B6" w:rsidRPr="004F5F08" w14:paraId="6F927A8F" w14:textId="77777777" w:rsidTr="002C6F00">
        <w:trPr>
          <w:trHeight w:val="62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66843A1D" w14:textId="77777777"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2</w:t>
            </w:r>
          </w:p>
        </w:tc>
        <w:tc>
          <w:tcPr>
            <w:tcW w:w="3060" w:type="dxa"/>
            <w:tcBorders>
              <w:top w:val="nil"/>
              <w:left w:val="nil"/>
              <w:bottom w:val="single" w:sz="4" w:space="0" w:color="auto"/>
              <w:right w:val="single" w:sz="4" w:space="0" w:color="auto"/>
            </w:tcBorders>
            <w:shd w:val="clear" w:color="auto" w:fill="auto"/>
            <w:noWrap/>
            <w:vAlign w:val="bottom"/>
            <w:hideMark/>
          </w:tcPr>
          <w:p w14:paraId="79B649B1" w14:textId="77777777"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Content Format</w:t>
            </w:r>
          </w:p>
        </w:tc>
        <w:tc>
          <w:tcPr>
            <w:tcW w:w="5310" w:type="dxa"/>
            <w:tcBorders>
              <w:top w:val="nil"/>
              <w:left w:val="nil"/>
              <w:bottom w:val="single" w:sz="4" w:space="0" w:color="auto"/>
              <w:right w:val="single" w:sz="4" w:space="0" w:color="auto"/>
            </w:tcBorders>
            <w:shd w:val="clear" w:color="auto" w:fill="auto"/>
            <w:vAlign w:val="bottom"/>
            <w:hideMark/>
          </w:tcPr>
          <w:p w14:paraId="6135FF5D" w14:textId="77777777" w:rsidR="00743D96" w:rsidRPr="004F5F08" w:rsidRDefault="00743D96" w:rsidP="009D4412">
            <w:pPr>
              <w:spacing w:after="0" w:line="240" w:lineRule="auto"/>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Except where we require detailed explanation most prompt received responses those were bulleted response which is better option </w:t>
            </w:r>
            <w:r w:rsidRPr="004F5F08">
              <w:rPr>
                <w:rFonts w:ascii="IBM Plex Sans" w:eastAsia="Times New Roman" w:hAnsi="IBM Plex Sans" w:cs="Calibri"/>
                <w:color w:val="000000"/>
                <w:sz w:val="24"/>
                <w:szCs w:val="24"/>
              </w:rPr>
              <w:br/>
              <w:t>to present specific information.</w:t>
            </w:r>
          </w:p>
        </w:tc>
      </w:tr>
      <w:tr w:rsidR="007856B6" w:rsidRPr="004F5F08" w14:paraId="556FD7F4" w14:textId="77777777" w:rsidTr="002C6F00">
        <w:trPr>
          <w:trHeight w:val="310"/>
        </w:trPr>
        <w:tc>
          <w:tcPr>
            <w:tcW w:w="895" w:type="dxa"/>
            <w:tcBorders>
              <w:top w:val="nil"/>
              <w:left w:val="single" w:sz="4" w:space="0" w:color="auto"/>
              <w:bottom w:val="single" w:sz="4" w:space="0" w:color="auto"/>
              <w:right w:val="single" w:sz="4" w:space="0" w:color="auto"/>
            </w:tcBorders>
            <w:shd w:val="clear" w:color="auto" w:fill="auto"/>
            <w:noWrap/>
            <w:vAlign w:val="bottom"/>
            <w:hideMark/>
          </w:tcPr>
          <w:p w14:paraId="460B58CE" w14:textId="77777777" w:rsidR="00D71347" w:rsidRPr="004F5F08" w:rsidRDefault="00D71347" w:rsidP="001A14CC">
            <w:pPr>
              <w:spacing w:after="0" w:line="240" w:lineRule="auto"/>
              <w:jc w:val="both"/>
              <w:rPr>
                <w:rFonts w:ascii="IBM Plex Sans" w:eastAsia="Times New Roman" w:hAnsi="IBM Plex Sans" w:cs="Calibri"/>
                <w:color w:val="000000"/>
                <w:sz w:val="24"/>
                <w:szCs w:val="24"/>
              </w:rPr>
            </w:pPr>
          </w:p>
          <w:p w14:paraId="6174AFBE" w14:textId="7B389DD1"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3</w:t>
            </w:r>
          </w:p>
        </w:tc>
        <w:tc>
          <w:tcPr>
            <w:tcW w:w="3060" w:type="dxa"/>
            <w:tcBorders>
              <w:top w:val="nil"/>
              <w:left w:val="nil"/>
              <w:bottom w:val="single" w:sz="4" w:space="0" w:color="auto"/>
              <w:right w:val="single" w:sz="4" w:space="0" w:color="auto"/>
            </w:tcBorders>
            <w:shd w:val="clear" w:color="auto" w:fill="auto"/>
            <w:noWrap/>
            <w:vAlign w:val="bottom"/>
            <w:hideMark/>
          </w:tcPr>
          <w:p w14:paraId="5486E629" w14:textId="77777777" w:rsidR="00743D96" w:rsidRPr="004F5F08" w:rsidRDefault="00743D96"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Placeholder Content</w:t>
            </w:r>
          </w:p>
        </w:tc>
        <w:tc>
          <w:tcPr>
            <w:tcW w:w="5310" w:type="dxa"/>
            <w:tcBorders>
              <w:top w:val="nil"/>
              <w:left w:val="nil"/>
              <w:bottom w:val="single" w:sz="4" w:space="0" w:color="auto"/>
              <w:right w:val="single" w:sz="4" w:space="0" w:color="auto"/>
            </w:tcBorders>
            <w:shd w:val="clear" w:color="auto" w:fill="auto"/>
            <w:noWrap/>
            <w:vAlign w:val="bottom"/>
            <w:hideMark/>
          </w:tcPr>
          <w:p w14:paraId="5638A070" w14:textId="05195FEE" w:rsidR="00743D96" w:rsidRPr="004F5F08" w:rsidRDefault="00743D96" w:rsidP="009D4412">
            <w:pPr>
              <w:spacing w:after="0" w:line="240" w:lineRule="auto"/>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Some prompts returned with placeholder content; which works well for Whitepaper generation using Generative AI </w:t>
            </w:r>
            <w:r w:rsidR="008A3920" w:rsidRPr="004F5F08">
              <w:rPr>
                <w:rFonts w:ascii="IBM Plex Sans" w:eastAsia="Times New Roman" w:hAnsi="IBM Plex Sans" w:cs="Calibri"/>
                <w:color w:val="000000"/>
                <w:sz w:val="24"/>
                <w:szCs w:val="24"/>
              </w:rPr>
              <w:t>(for</w:t>
            </w:r>
            <w:r w:rsidRPr="004F5F08">
              <w:rPr>
                <w:rFonts w:ascii="IBM Plex Sans" w:eastAsia="Times New Roman" w:hAnsi="IBM Plex Sans" w:cs="Calibri"/>
                <w:color w:val="000000"/>
                <w:sz w:val="24"/>
                <w:szCs w:val="24"/>
              </w:rPr>
              <w:t xml:space="preserve"> example - Case </w:t>
            </w:r>
            <w:proofErr w:type="gramStart"/>
            <w:r w:rsidRPr="004F5F08">
              <w:rPr>
                <w:rFonts w:ascii="IBM Plex Sans" w:eastAsia="Times New Roman" w:hAnsi="IBM Plex Sans" w:cs="Calibri"/>
                <w:color w:val="000000"/>
                <w:sz w:val="24"/>
                <w:szCs w:val="24"/>
              </w:rPr>
              <w:t>Studies )</w:t>
            </w:r>
            <w:proofErr w:type="gramEnd"/>
          </w:p>
        </w:tc>
      </w:tr>
    </w:tbl>
    <w:p w14:paraId="6DF578AB" w14:textId="2633CD99" w:rsidR="00D64EC6" w:rsidRPr="00217A15" w:rsidRDefault="007856B6" w:rsidP="001A14CC">
      <w:pPr>
        <w:jc w:val="both"/>
        <w:rPr>
          <w:rFonts w:ascii="IBM Plex Sans" w:eastAsiaTheme="majorEastAsia" w:hAnsi="IBM Plex Sans" w:cstheme="majorBidi"/>
          <w:b/>
          <w:bCs/>
          <w:noProof/>
          <w:sz w:val="28"/>
          <w:szCs w:val="28"/>
        </w:rPr>
      </w:pPr>
      <w:r w:rsidRPr="00217A15">
        <w:rPr>
          <w:rFonts w:ascii="IBM Plex Sans" w:eastAsiaTheme="majorEastAsia" w:hAnsi="IBM Plex Sans" w:cstheme="majorBidi"/>
          <w:b/>
          <w:bCs/>
          <w:noProof/>
          <w:sz w:val="28"/>
          <w:szCs w:val="28"/>
        </w:rPr>
        <w:lastRenderedPageBreak/>
        <w:t>Challenges</w:t>
      </w:r>
    </w:p>
    <w:tbl>
      <w:tblPr>
        <w:tblW w:w="9350" w:type="dxa"/>
        <w:tblLook w:val="04A0" w:firstRow="1" w:lastRow="0" w:firstColumn="1" w:lastColumn="0" w:noHBand="0" w:noVBand="1"/>
      </w:tblPr>
      <w:tblGrid>
        <w:gridCol w:w="985"/>
        <w:gridCol w:w="3330"/>
        <w:gridCol w:w="5035"/>
      </w:tblGrid>
      <w:tr w:rsidR="0002320F" w:rsidRPr="004F5F08" w14:paraId="2F53710F" w14:textId="77777777" w:rsidTr="002C6F00">
        <w:trPr>
          <w:trHeight w:val="31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FC129" w14:textId="45AAE97F" w:rsidR="0002320F" w:rsidRPr="004F5F08" w:rsidRDefault="0002320F" w:rsidP="001A14CC">
            <w:pPr>
              <w:spacing w:after="0" w:line="240" w:lineRule="auto"/>
              <w:jc w:val="both"/>
              <w:rPr>
                <w:rFonts w:ascii="IBM Plex Sans" w:eastAsia="Times New Roman" w:hAnsi="IBM Plex Sans" w:cs="Calibri"/>
                <w:b/>
                <w:bCs/>
                <w:color w:val="000000"/>
                <w:sz w:val="24"/>
                <w:szCs w:val="24"/>
              </w:rPr>
            </w:pPr>
            <w:proofErr w:type="spellStart"/>
            <w:proofErr w:type="gramStart"/>
            <w:r w:rsidRPr="004F5F08">
              <w:rPr>
                <w:rFonts w:ascii="IBM Plex Sans" w:eastAsia="Times New Roman" w:hAnsi="IBM Plex Sans" w:cs="Calibri"/>
                <w:b/>
                <w:bCs/>
                <w:color w:val="000000"/>
                <w:sz w:val="24"/>
                <w:szCs w:val="24"/>
              </w:rPr>
              <w:t>S</w:t>
            </w:r>
            <w:r w:rsidR="007F4B3C" w:rsidRPr="004F5F08">
              <w:rPr>
                <w:rFonts w:ascii="IBM Plex Sans" w:eastAsia="Times New Roman" w:hAnsi="IBM Plex Sans" w:cs="Calibri"/>
                <w:b/>
                <w:bCs/>
                <w:color w:val="000000"/>
                <w:sz w:val="24"/>
                <w:szCs w:val="24"/>
              </w:rPr>
              <w:t>l</w:t>
            </w:r>
            <w:r w:rsidRPr="004F5F08">
              <w:rPr>
                <w:rFonts w:ascii="IBM Plex Sans" w:eastAsia="Times New Roman" w:hAnsi="IBM Plex Sans" w:cs="Calibri"/>
                <w:b/>
                <w:bCs/>
                <w:color w:val="000000"/>
                <w:sz w:val="24"/>
                <w:szCs w:val="24"/>
              </w:rPr>
              <w:t>.No</w:t>
            </w:r>
            <w:proofErr w:type="spellEnd"/>
            <w:proofErr w:type="gramEnd"/>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77E1F704" w14:textId="77777777" w:rsidR="0002320F" w:rsidRPr="004F5F08" w:rsidRDefault="0002320F" w:rsidP="001A14CC">
            <w:pPr>
              <w:spacing w:after="0" w:line="240" w:lineRule="auto"/>
              <w:jc w:val="both"/>
              <w:rPr>
                <w:rFonts w:ascii="IBM Plex Sans" w:eastAsia="Times New Roman" w:hAnsi="IBM Plex Sans" w:cs="Calibri"/>
                <w:b/>
                <w:bCs/>
                <w:color w:val="000000"/>
                <w:sz w:val="24"/>
                <w:szCs w:val="24"/>
              </w:rPr>
            </w:pPr>
            <w:r w:rsidRPr="004F5F08">
              <w:rPr>
                <w:rFonts w:ascii="IBM Plex Sans" w:eastAsia="Times New Roman" w:hAnsi="IBM Plex Sans" w:cs="Calibri"/>
                <w:b/>
                <w:bCs/>
                <w:color w:val="000000"/>
                <w:sz w:val="24"/>
                <w:szCs w:val="24"/>
              </w:rPr>
              <w:t xml:space="preserve">Observation </w:t>
            </w:r>
          </w:p>
        </w:tc>
        <w:tc>
          <w:tcPr>
            <w:tcW w:w="5035" w:type="dxa"/>
            <w:tcBorders>
              <w:top w:val="single" w:sz="4" w:space="0" w:color="auto"/>
              <w:left w:val="nil"/>
              <w:bottom w:val="single" w:sz="4" w:space="0" w:color="auto"/>
              <w:right w:val="single" w:sz="4" w:space="0" w:color="auto"/>
            </w:tcBorders>
            <w:shd w:val="clear" w:color="auto" w:fill="auto"/>
            <w:noWrap/>
            <w:vAlign w:val="bottom"/>
            <w:hideMark/>
          </w:tcPr>
          <w:p w14:paraId="32CE4C57" w14:textId="77777777" w:rsidR="0002320F" w:rsidRPr="004F5F08" w:rsidRDefault="0002320F" w:rsidP="001A14CC">
            <w:pPr>
              <w:spacing w:after="0" w:line="240" w:lineRule="auto"/>
              <w:jc w:val="both"/>
              <w:rPr>
                <w:rFonts w:ascii="IBM Plex Sans" w:eastAsia="Times New Roman" w:hAnsi="IBM Plex Sans" w:cs="Calibri"/>
                <w:b/>
                <w:bCs/>
                <w:color w:val="000000"/>
                <w:sz w:val="24"/>
                <w:szCs w:val="24"/>
              </w:rPr>
            </w:pPr>
            <w:r w:rsidRPr="004F5F08">
              <w:rPr>
                <w:rFonts w:ascii="IBM Plex Sans" w:eastAsia="Times New Roman" w:hAnsi="IBM Plex Sans" w:cs="Calibri"/>
                <w:b/>
                <w:bCs/>
                <w:color w:val="000000"/>
                <w:sz w:val="24"/>
                <w:szCs w:val="24"/>
              </w:rPr>
              <w:t>Learning</w:t>
            </w:r>
          </w:p>
        </w:tc>
      </w:tr>
      <w:tr w:rsidR="0002320F" w:rsidRPr="004F5F08" w14:paraId="3A64B1EC" w14:textId="77777777" w:rsidTr="002C6F00">
        <w:trPr>
          <w:trHeight w:val="31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2F2522EB"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1</w:t>
            </w:r>
          </w:p>
        </w:tc>
        <w:tc>
          <w:tcPr>
            <w:tcW w:w="3330" w:type="dxa"/>
            <w:tcBorders>
              <w:top w:val="nil"/>
              <w:left w:val="nil"/>
              <w:bottom w:val="single" w:sz="4" w:space="0" w:color="auto"/>
              <w:right w:val="single" w:sz="4" w:space="0" w:color="auto"/>
            </w:tcBorders>
            <w:shd w:val="clear" w:color="auto" w:fill="auto"/>
            <w:noWrap/>
            <w:vAlign w:val="bottom"/>
            <w:hideMark/>
          </w:tcPr>
          <w:p w14:paraId="3EB95C60"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Repeated Content</w:t>
            </w:r>
          </w:p>
        </w:tc>
        <w:tc>
          <w:tcPr>
            <w:tcW w:w="5035" w:type="dxa"/>
            <w:tcBorders>
              <w:top w:val="nil"/>
              <w:left w:val="nil"/>
              <w:bottom w:val="single" w:sz="4" w:space="0" w:color="auto"/>
              <w:right w:val="single" w:sz="4" w:space="0" w:color="auto"/>
            </w:tcBorders>
            <w:shd w:val="clear" w:color="auto" w:fill="auto"/>
            <w:noWrap/>
            <w:vAlign w:val="bottom"/>
            <w:hideMark/>
          </w:tcPr>
          <w:p w14:paraId="6819A1E5" w14:textId="28B6A09B"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After initial few attempts for a specific subject like FERC 2222, we were getting repeated </w:t>
            </w:r>
            <w:r w:rsidR="002C6F00" w:rsidRPr="004F5F08">
              <w:rPr>
                <w:rFonts w:ascii="IBM Plex Sans" w:eastAsia="Times New Roman" w:hAnsi="IBM Plex Sans" w:cs="Calibri"/>
                <w:color w:val="000000"/>
                <w:sz w:val="24"/>
                <w:szCs w:val="24"/>
              </w:rPr>
              <w:t>content,</w:t>
            </w:r>
            <w:r w:rsidRPr="004F5F08">
              <w:rPr>
                <w:rFonts w:ascii="IBM Plex Sans" w:eastAsia="Times New Roman" w:hAnsi="IBM Plex Sans" w:cs="Calibri"/>
                <w:color w:val="000000"/>
                <w:sz w:val="24"/>
                <w:szCs w:val="24"/>
              </w:rPr>
              <w:t xml:space="preserve"> even for different prompts</w:t>
            </w:r>
          </w:p>
        </w:tc>
      </w:tr>
      <w:tr w:rsidR="0002320F" w:rsidRPr="004F5F08" w14:paraId="7C0BC1EF" w14:textId="77777777" w:rsidTr="002C6F00">
        <w:trPr>
          <w:trHeight w:val="31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440A7B82"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2</w:t>
            </w:r>
          </w:p>
        </w:tc>
        <w:tc>
          <w:tcPr>
            <w:tcW w:w="3330" w:type="dxa"/>
            <w:tcBorders>
              <w:top w:val="nil"/>
              <w:left w:val="nil"/>
              <w:bottom w:val="single" w:sz="4" w:space="0" w:color="auto"/>
              <w:right w:val="single" w:sz="4" w:space="0" w:color="auto"/>
            </w:tcBorders>
            <w:shd w:val="clear" w:color="auto" w:fill="auto"/>
            <w:noWrap/>
            <w:vAlign w:val="bottom"/>
            <w:hideMark/>
          </w:tcPr>
          <w:p w14:paraId="6130FCB9"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Format / Bulleted Content</w:t>
            </w:r>
          </w:p>
        </w:tc>
        <w:tc>
          <w:tcPr>
            <w:tcW w:w="5035" w:type="dxa"/>
            <w:tcBorders>
              <w:top w:val="nil"/>
              <w:left w:val="nil"/>
              <w:bottom w:val="single" w:sz="4" w:space="0" w:color="auto"/>
              <w:right w:val="single" w:sz="4" w:space="0" w:color="auto"/>
            </w:tcBorders>
            <w:shd w:val="clear" w:color="auto" w:fill="auto"/>
            <w:noWrap/>
            <w:vAlign w:val="bottom"/>
            <w:hideMark/>
          </w:tcPr>
          <w:p w14:paraId="2F5C1E86"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Even with an open prompt which would require an explanation, we were provided with bulleted response.</w:t>
            </w:r>
          </w:p>
        </w:tc>
      </w:tr>
      <w:tr w:rsidR="0002320F" w:rsidRPr="004F5F08" w14:paraId="645A828C" w14:textId="77777777" w:rsidTr="002C6F00">
        <w:trPr>
          <w:trHeight w:val="31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6A1BE40F"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3</w:t>
            </w:r>
          </w:p>
        </w:tc>
        <w:tc>
          <w:tcPr>
            <w:tcW w:w="3330" w:type="dxa"/>
            <w:tcBorders>
              <w:top w:val="nil"/>
              <w:left w:val="nil"/>
              <w:bottom w:val="single" w:sz="4" w:space="0" w:color="auto"/>
              <w:right w:val="single" w:sz="4" w:space="0" w:color="auto"/>
            </w:tcBorders>
            <w:shd w:val="clear" w:color="auto" w:fill="auto"/>
            <w:noWrap/>
            <w:vAlign w:val="bottom"/>
            <w:hideMark/>
          </w:tcPr>
          <w:p w14:paraId="4B090591"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Limited Text</w:t>
            </w:r>
          </w:p>
        </w:tc>
        <w:tc>
          <w:tcPr>
            <w:tcW w:w="5035" w:type="dxa"/>
            <w:tcBorders>
              <w:top w:val="nil"/>
              <w:left w:val="nil"/>
              <w:bottom w:val="single" w:sz="4" w:space="0" w:color="auto"/>
              <w:right w:val="single" w:sz="4" w:space="0" w:color="auto"/>
            </w:tcBorders>
            <w:shd w:val="clear" w:color="auto" w:fill="auto"/>
            <w:noWrap/>
            <w:vAlign w:val="bottom"/>
            <w:hideMark/>
          </w:tcPr>
          <w:p w14:paraId="342757A7" w14:textId="0A44C586"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For variety of questions / prompts, where more detailed response expected but only limited </w:t>
            </w:r>
            <w:r w:rsidR="002D0CA1">
              <w:rPr>
                <w:rFonts w:ascii="IBM Plex Sans" w:eastAsia="Times New Roman" w:hAnsi="IBM Plex Sans" w:cs="Calibri"/>
                <w:color w:val="000000"/>
                <w:sz w:val="24"/>
                <w:szCs w:val="24"/>
              </w:rPr>
              <w:t>response</w:t>
            </w:r>
            <w:r w:rsidRPr="004F5F08">
              <w:rPr>
                <w:rFonts w:ascii="IBM Plex Sans" w:eastAsia="Times New Roman" w:hAnsi="IBM Plex Sans" w:cs="Calibri"/>
                <w:color w:val="000000"/>
                <w:sz w:val="24"/>
                <w:szCs w:val="24"/>
              </w:rPr>
              <w:t xml:space="preserve"> was returned.</w:t>
            </w:r>
          </w:p>
        </w:tc>
      </w:tr>
      <w:tr w:rsidR="0002320F" w:rsidRPr="004F5F08" w14:paraId="46366663" w14:textId="77777777" w:rsidTr="002C6F00">
        <w:trPr>
          <w:trHeight w:val="31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7F4F2FBD"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4</w:t>
            </w:r>
          </w:p>
        </w:tc>
        <w:tc>
          <w:tcPr>
            <w:tcW w:w="3330" w:type="dxa"/>
            <w:tcBorders>
              <w:top w:val="nil"/>
              <w:left w:val="nil"/>
              <w:bottom w:val="single" w:sz="4" w:space="0" w:color="auto"/>
              <w:right w:val="single" w:sz="4" w:space="0" w:color="auto"/>
            </w:tcBorders>
            <w:shd w:val="clear" w:color="auto" w:fill="auto"/>
            <w:noWrap/>
            <w:vAlign w:val="bottom"/>
            <w:hideMark/>
          </w:tcPr>
          <w:p w14:paraId="1BE761AB"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Generic Text / Content </w:t>
            </w:r>
          </w:p>
        </w:tc>
        <w:tc>
          <w:tcPr>
            <w:tcW w:w="5035" w:type="dxa"/>
            <w:tcBorders>
              <w:top w:val="nil"/>
              <w:left w:val="nil"/>
              <w:bottom w:val="single" w:sz="4" w:space="0" w:color="auto"/>
              <w:right w:val="single" w:sz="4" w:space="0" w:color="auto"/>
            </w:tcBorders>
            <w:shd w:val="clear" w:color="auto" w:fill="auto"/>
            <w:noWrap/>
            <w:vAlign w:val="bottom"/>
            <w:hideMark/>
          </w:tcPr>
          <w:p w14:paraId="169AA847" w14:textId="36BAB2CF"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In some </w:t>
            </w:r>
            <w:proofErr w:type="gramStart"/>
            <w:r w:rsidR="002D0CA1">
              <w:rPr>
                <w:rFonts w:ascii="IBM Plex Sans" w:eastAsia="Times New Roman" w:hAnsi="IBM Plex Sans" w:cs="Calibri"/>
                <w:color w:val="000000"/>
                <w:sz w:val="24"/>
                <w:szCs w:val="24"/>
              </w:rPr>
              <w:t>cases</w:t>
            </w:r>
            <w:proofErr w:type="gramEnd"/>
            <w:r w:rsidRPr="004F5F08">
              <w:rPr>
                <w:rFonts w:ascii="IBM Plex Sans" w:eastAsia="Times New Roman" w:hAnsi="IBM Plex Sans" w:cs="Calibri"/>
                <w:color w:val="000000"/>
                <w:sz w:val="24"/>
                <w:szCs w:val="24"/>
              </w:rPr>
              <w:t xml:space="preserve"> returned text / content was generic and repeat</w:t>
            </w:r>
            <w:r w:rsidR="00035C67">
              <w:rPr>
                <w:rFonts w:ascii="IBM Plex Sans" w:eastAsia="Times New Roman" w:hAnsi="IBM Plex Sans" w:cs="Calibri"/>
                <w:color w:val="000000"/>
                <w:sz w:val="24"/>
                <w:szCs w:val="24"/>
              </w:rPr>
              <w:t>ed</w:t>
            </w:r>
            <w:r w:rsidRPr="004F5F08">
              <w:rPr>
                <w:rFonts w:ascii="IBM Plex Sans" w:eastAsia="Times New Roman" w:hAnsi="IBM Plex Sans" w:cs="Calibri"/>
                <w:color w:val="000000"/>
                <w:sz w:val="24"/>
                <w:szCs w:val="24"/>
              </w:rPr>
              <w:t xml:space="preserve"> instead</w:t>
            </w:r>
            <w:r w:rsidR="00EF3F98">
              <w:rPr>
                <w:rFonts w:ascii="IBM Plex Sans" w:eastAsia="Times New Roman" w:hAnsi="IBM Plex Sans" w:cs="Calibri"/>
                <w:color w:val="000000"/>
                <w:sz w:val="24"/>
                <w:szCs w:val="24"/>
              </w:rPr>
              <w:t xml:space="preserve"> of </w:t>
            </w:r>
            <w:r w:rsidRPr="004F5F08">
              <w:rPr>
                <w:rFonts w:ascii="IBM Plex Sans" w:eastAsia="Times New Roman" w:hAnsi="IBM Plex Sans" w:cs="Calibri"/>
                <w:color w:val="000000"/>
                <w:sz w:val="24"/>
                <w:szCs w:val="24"/>
              </w:rPr>
              <w:t xml:space="preserve">providing specific information </w:t>
            </w:r>
            <w:r w:rsidR="002C6F00" w:rsidRPr="004F5F08">
              <w:rPr>
                <w:rFonts w:ascii="IBM Plex Sans" w:eastAsia="Times New Roman" w:hAnsi="IBM Plex Sans" w:cs="Calibri"/>
                <w:color w:val="000000"/>
                <w:sz w:val="24"/>
                <w:szCs w:val="24"/>
              </w:rPr>
              <w:t>(even</w:t>
            </w:r>
            <w:r w:rsidRPr="004F5F08">
              <w:rPr>
                <w:rFonts w:ascii="IBM Plex Sans" w:eastAsia="Times New Roman" w:hAnsi="IBM Plex Sans" w:cs="Calibri"/>
                <w:color w:val="000000"/>
                <w:sz w:val="24"/>
                <w:szCs w:val="24"/>
              </w:rPr>
              <w:t xml:space="preserve"> with variety of </w:t>
            </w:r>
            <w:r w:rsidR="00D71347" w:rsidRPr="004F5F08">
              <w:rPr>
                <w:rFonts w:ascii="IBM Plex Sans" w:eastAsia="Times New Roman" w:hAnsi="IBM Plex Sans" w:cs="Calibri"/>
                <w:color w:val="000000"/>
                <w:sz w:val="24"/>
                <w:szCs w:val="24"/>
              </w:rPr>
              <w:t>prompts)</w:t>
            </w:r>
          </w:p>
        </w:tc>
      </w:tr>
      <w:tr w:rsidR="0002320F" w:rsidRPr="004F5F08" w14:paraId="4BDCC529" w14:textId="77777777" w:rsidTr="00DE406C">
        <w:trPr>
          <w:trHeight w:val="310"/>
        </w:trPr>
        <w:tc>
          <w:tcPr>
            <w:tcW w:w="985" w:type="dxa"/>
            <w:tcBorders>
              <w:top w:val="nil"/>
              <w:left w:val="single" w:sz="4" w:space="0" w:color="auto"/>
              <w:bottom w:val="single" w:sz="4" w:space="0" w:color="auto"/>
              <w:right w:val="single" w:sz="4" w:space="0" w:color="auto"/>
            </w:tcBorders>
            <w:shd w:val="clear" w:color="auto" w:fill="auto"/>
            <w:noWrap/>
            <w:vAlign w:val="bottom"/>
            <w:hideMark/>
          </w:tcPr>
          <w:p w14:paraId="3002BF74" w14:textId="2CB8EBF6"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5</w:t>
            </w:r>
          </w:p>
        </w:tc>
        <w:tc>
          <w:tcPr>
            <w:tcW w:w="3330" w:type="dxa"/>
            <w:tcBorders>
              <w:top w:val="nil"/>
              <w:left w:val="nil"/>
              <w:bottom w:val="single" w:sz="4" w:space="0" w:color="auto"/>
              <w:right w:val="single" w:sz="4" w:space="0" w:color="auto"/>
            </w:tcBorders>
            <w:shd w:val="clear" w:color="auto" w:fill="auto"/>
            <w:noWrap/>
            <w:vAlign w:val="bottom"/>
            <w:hideMark/>
          </w:tcPr>
          <w:p w14:paraId="747796A9"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Limited coverage</w:t>
            </w:r>
          </w:p>
        </w:tc>
        <w:tc>
          <w:tcPr>
            <w:tcW w:w="5035" w:type="dxa"/>
            <w:tcBorders>
              <w:top w:val="nil"/>
              <w:left w:val="nil"/>
              <w:bottom w:val="single" w:sz="4" w:space="0" w:color="auto"/>
              <w:right w:val="single" w:sz="4" w:space="0" w:color="auto"/>
            </w:tcBorders>
            <w:shd w:val="clear" w:color="auto" w:fill="auto"/>
            <w:noWrap/>
            <w:vAlign w:val="bottom"/>
            <w:hideMark/>
          </w:tcPr>
          <w:p w14:paraId="2ADBC336" w14:textId="463D9432" w:rsidR="0002320F" w:rsidRPr="004F5F08" w:rsidRDefault="00AE662C" w:rsidP="001A14CC">
            <w:pPr>
              <w:spacing w:after="0" w:line="240" w:lineRule="auto"/>
              <w:jc w:val="both"/>
              <w:rPr>
                <w:rFonts w:ascii="IBM Plex Sans" w:eastAsia="Times New Roman" w:hAnsi="IBM Plex Sans" w:cs="Calibri"/>
                <w:color w:val="000000"/>
                <w:sz w:val="24"/>
                <w:szCs w:val="24"/>
              </w:rPr>
            </w:pPr>
            <w:r>
              <w:rPr>
                <w:rFonts w:ascii="IBM Plex Sans" w:eastAsia="Times New Roman" w:hAnsi="IBM Plex Sans" w:cs="Calibri"/>
                <w:color w:val="000000"/>
                <w:sz w:val="24"/>
                <w:szCs w:val="24"/>
              </w:rPr>
              <w:t>P</w:t>
            </w:r>
            <w:r w:rsidR="0002320F" w:rsidRPr="004F5F08">
              <w:rPr>
                <w:rFonts w:ascii="IBM Plex Sans" w:eastAsia="Times New Roman" w:hAnsi="IBM Plex Sans" w:cs="Calibri"/>
                <w:color w:val="000000"/>
                <w:sz w:val="24"/>
                <w:szCs w:val="24"/>
              </w:rPr>
              <w:t xml:space="preserve">rompts received good content from North American </w:t>
            </w:r>
            <w:r w:rsidR="00882216" w:rsidRPr="004F5F08">
              <w:rPr>
                <w:rFonts w:ascii="IBM Plex Sans" w:eastAsia="Times New Roman" w:hAnsi="IBM Plex Sans" w:cs="Calibri"/>
                <w:color w:val="000000"/>
                <w:sz w:val="24"/>
                <w:szCs w:val="24"/>
              </w:rPr>
              <w:t>region,</w:t>
            </w:r>
            <w:r w:rsidR="0002320F" w:rsidRPr="004F5F08">
              <w:rPr>
                <w:rFonts w:ascii="IBM Plex Sans" w:eastAsia="Times New Roman" w:hAnsi="IBM Plex Sans" w:cs="Calibri"/>
                <w:color w:val="000000"/>
                <w:sz w:val="24"/>
                <w:szCs w:val="24"/>
              </w:rPr>
              <w:t xml:space="preserve"> </w:t>
            </w:r>
            <w:r>
              <w:rPr>
                <w:rFonts w:ascii="IBM Plex Sans" w:eastAsia="Times New Roman" w:hAnsi="IBM Plex Sans" w:cs="Calibri"/>
                <w:color w:val="000000"/>
                <w:sz w:val="24"/>
                <w:szCs w:val="24"/>
              </w:rPr>
              <w:t xml:space="preserve">but </w:t>
            </w:r>
            <w:r w:rsidR="0002320F" w:rsidRPr="004F5F08">
              <w:rPr>
                <w:rFonts w:ascii="IBM Plex Sans" w:eastAsia="Times New Roman" w:hAnsi="IBM Plex Sans" w:cs="Calibri"/>
                <w:color w:val="000000"/>
                <w:sz w:val="24"/>
                <w:szCs w:val="24"/>
              </w:rPr>
              <w:t xml:space="preserve">very limited details </w:t>
            </w:r>
            <w:r w:rsidR="00882216">
              <w:rPr>
                <w:rFonts w:ascii="IBM Plex Sans" w:eastAsia="Times New Roman" w:hAnsi="IBM Plex Sans" w:cs="Calibri"/>
                <w:color w:val="000000"/>
                <w:sz w:val="24"/>
                <w:szCs w:val="24"/>
              </w:rPr>
              <w:t>responded</w:t>
            </w:r>
            <w:r>
              <w:rPr>
                <w:rFonts w:ascii="IBM Plex Sans" w:eastAsia="Times New Roman" w:hAnsi="IBM Plex Sans" w:cs="Calibri"/>
                <w:color w:val="000000"/>
                <w:sz w:val="24"/>
                <w:szCs w:val="24"/>
              </w:rPr>
              <w:t xml:space="preserve"> to </w:t>
            </w:r>
            <w:r w:rsidR="0002320F" w:rsidRPr="004F5F08">
              <w:rPr>
                <w:rFonts w:ascii="IBM Plex Sans" w:eastAsia="Times New Roman" w:hAnsi="IBM Plex Sans" w:cs="Calibri"/>
                <w:color w:val="000000"/>
                <w:sz w:val="24"/>
                <w:szCs w:val="24"/>
              </w:rPr>
              <w:t>Europe/Asia/Africa region</w:t>
            </w:r>
          </w:p>
        </w:tc>
      </w:tr>
      <w:tr w:rsidR="0002320F" w:rsidRPr="004F5F08" w14:paraId="01B8E4DB" w14:textId="77777777" w:rsidTr="00DE406C">
        <w:trPr>
          <w:trHeight w:val="31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487DD"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6</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4A5D1E8C" w14:textId="026DE43B"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 xml:space="preserve">Content </w:t>
            </w:r>
            <w:r w:rsidR="006610C9">
              <w:rPr>
                <w:rFonts w:ascii="IBM Plex Sans" w:eastAsia="Times New Roman" w:hAnsi="IBM Plex Sans" w:cs="Calibri"/>
                <w:color w:val="000000"/>
                <w:sz w:val="24"/>
                <w:szCs w:val="24"/>
              </w:rPr>
              <w:t>Timelines</w:t>
            </w:r>
          </w:p>
        </w:tc>
        <w:tc>
          <w:tcPr>
            <w:tcW w:w="5035" w:type="dxa"/>
            <w:tcBorders>
              <w:top w:val="single" w:sz="4" w:space="0" w:color="auto"/>
              <w:left w:val="nil"/>
              <w:bottom w:val="single" w:sz="4" w:space="0" w:color="auto"/>
              <w:right w:val="single" w:sz="4" w:space="0" w:color="auto"/>
            </w:tcBorders>
            <w:shd w:val="clear" w:color="auto" w:fill="auto"/>
            <w:noWrap/>
            <w:vAlign w:val="bottom"/>
            <w:hideMark/>
          </w:tcPr>
          <w:p w14:paraId="7169C509" w14:textId="77777777" w:rsidR="0002320F" w:rsidRPr="004F5F08" w:rsidRDefault="0002320F" w:rsidP="001A14CC">
            <w:pPr>
              <w:spacing w:after="0" w:line="240" w:lineRule="auto"/>
              <w:jc w:val="both"/>
              <w:rPr>
                <w:rFonts w:ascii="IBM Plex Sans" w:eastAsia="Times New Roman" w:hAnsi="IBM Plex Sans" w:cs="Calibri"/>
                <w:color w:val="000000"/>
                <w:sz w:val="24"/>
                <w:szCs w:val="24"/>
              </w:rPr>
            </w:pPr>
            <w:r w:rsidRPr="004F5F08">
              <w:rPr>
                <w:rFonts w:ascii="IBM Plex Sans" w:eastAsia="Times New Roman" w:hAnsi="IBM Plex Sans" w:cs="Calibri"/>
                <w:color w:val="000000"/>
                <w:sz w:val="24"/>
                <w:szCs w:val="24"/>
              </w:rPr>
              <w:t>Returned content is from 2021 or earlier, which may work for some area(s), but it should have more current information base.</w:t>
            </w:r>
          </w:p>
        </w:tc>
      </w:tr>
      <w:tr w:rsidR="00DE406C" w:rsidRPr="004F5F08" w14:paraId="2514A2EC" w14:textId="77777777" w:rsidTr="00DE406C">
        <w:trPr>
          <w:trHeight w:val="310"/>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7BD00" w14:textId="32FEF5DE" w:rsidR="00DE406C" w:rsidRPr="004F5F08" w:rsidRDefault="00DE406C" w:rsidP="001A14CC">
            <w:pPr>
              <w:spacing w:after="0" w:line="240" w:lineRule="auto"/>
              <w:jc w:val="both"/>
              <w:rPr>
                <w:rFonts w:ascii="IBM Plex Sans" w:eastAsia="Times New Roman" w:hAnsi="IBM Plex Sans" w:cs="Calibri"/>
                <w:color w:val="000000"/>
                <w:sz w:val="24"/>
                <w:szCs w:val="24"/>
              </w:rPr>
            </w:pPr>
            <w:r>
              <w:rPr>
                <w:rFonts w:ascii="IBM Plex Sans" w:eastAsia="Times New Roman" w:hAnsi="IBM Plex Sans" w:cs="Calibri"/>
                <w:color w:val="000000"/>
                <w:sz w:val="24"/>
                <w:szCs w:val="24"/>
              </w:rPr>
              <w:t>7</w:t>
            </w:r>
          </w:p>
        </w:tc>
        <w:tc>
          <w:tcPr>
            <w:tcW w:w="3330" w:type="dxa"/>
            <w:tcBorders>
              <w:top w:val="single" w:sz="4" w:space="0" w:color="auto"/>
              <w:left w:val="nil"/>
              <w:bottom w:val="single" w:sz="4" w:space="0" w:color="auto"/>
              <w:right w:val="single" w:sz="4" w:space="0" w:color="auto"/>
            </w:tcBorders>
            <w:shd w:val="clear" w:color="auto" w:fill="auto"/>
            <w:noWrap/>
            <w:vAlign w:val="bottom"/>
          </w:tcPr>
          <w:p w14:paraId="2DAA9C8A" w14:textId="5ABF9ECF" w:rsidR="00DE406C" w:rsidRPr="004F5F08" w:rsidRDefault="00197D6D" w:rsidP="00B55828">
            <w:pPr>
              <w:spacing w:after="0" w:line="240" w:lineRule="auto"/>
              <w:rPr>
                <w:rFonts w:ascii="IBM Plex Sans" w:eastAsia="Times New Roman" w:hAnsi="IBM Plex Sans" w:cs="Calibri"/>
                <w:color w:val="000000"/>
                <w:sz w:val="24"/>
                <w:szCs w:val="24"/>
              </w:rPr>
            </w:pPr>
            <w:r>
              <w:rPr>
                <w:rFonts w:ascii="IBM Plex Sans" w:eastAsia="Times New Roman" w:hAnsi="IBM Plex Sans" w:cs="Calibri"/>
                <w:color w:val="000000"/>
                <w:sz w:val="24"/>
                <w:szCs w:val="24"/>
              </w:rPr>
              <w:t>Generating Architecture views</w:t>
            </w:r>
          </w:p>
        </w:tc>
        <w:tc>
          <w:tcPr>
            <w:tcW w:w="5035" w:type="dxa"/>
            <w:tcBorders>
              <w:top w:val="single" w:sz="4" w:space="0" w:color="auto"/>
              <w:left w:val="nil"/>
              <w:bottom w:val="single" w:sz="4" w:space="0" w:color="auto"/>
              <w:right w:val="single" w:sz="4" w:space="0" w:color="auto"/>
            </w:tcBorders>
            <w:shd w:val="clear" w:color="auto" w:fill="auto"/>
            <w:noWrap/>
            <w:vAlign w:val="bottom"/>
          </w:tcPr>
          <w:p w14:paraId="05443793" w14:textId="7968BF0B" w:rsidR="00DE406C" w:rsidRPr="004F5F08" w:rsidRDefault="00197D6D" w:rsidP="001A14CC">
            <w:pPr>
              <w:spacing w:after="0" w:line="240" w:lineRule="auto"/>
              <w:jc w:val="both"/>
              <w:rPr>
                <w:rFonts w:ascii="IBM Plex Sans" w:eastAsia="Times New Roman" w:hAnsi="IBM Plex Sans" w:cs="Calibri"/>
                <w:color w:val="000000"/>
                <w:sz w:val="24"/>
                <w:szCs w:val="24"/>
              </w:rPr>
            </w:pPr>
            <w:r>
              <w:rPr>
                <w:rFonts w:ascii="IBM Plex Sans" w:eastAsia="Times New Roman" w:hAnsi="IBM Plex Sans" w:cs="Calibri"/>
                <w:color w:val="000000"/>
                <w:sz w:val="24"/>
                <w:szCs w:val="24"/>
              </w:rPr>
              <w:t xml:space="preserve">As its </w:t>
            </w:r>
            <w:r w:rsidR="00483550">
              <w:rPr>
                <w:rFonts w:ascii="IBM Plex Sans" w:eastAsia="Times New Roman" w:hAnsi="IBM Plex Sans" w:cs="Calibri"/>
                <w:color w:val="000000"/>
                <w:sz w:val="24"/>
                <w:szCs w:val="24"/>
              </w:rPr>
              <w:t xml:space="preserve">Chat GPT </w:t>
            </w:r>
            <w:r>
              <w:rPr>
                <w:rFonts w:ascii="IBM Plex Sans" w:eastAsia="Times New Roman" w:hAnsi="IBM Plex Sans" w:cs="Calibri"/>
                <w:color w:val="000000"/>
                <w:sz w:val="24"/>
                <w:szCs w:val="24"/>
              </w:rPr>
              <w:t xml:space="preserve">Large Language Models, it didn’t provide options to generate architecture images </w:t>
            </w:r>
            <w:r w:rsidR="00B55828">
              <w:rPr>
                <w:rFonts w:ascii="IBM Plex Sans" w:eastAsia="Times New Roman" w:hAnsi="IBM Plex Sans" w:cs="Calibri"/>
                <w:color w:val="000000"/>
                <w:sz w:val="24"/>
                <w:szCs w:val="24"/>
              </w:rPr>
              <w:t xml:space="preserve">for some of the key areas. </w:t>
            </w:r>
            <w:r w:rsidR="00004B08">
              <w:rPr>
                <w:rFonts w:ascii="IBM Plex Sans" w:eastAsia="Times New Roman" w:hAnsi="IBM Plex Sans" w:cs="Calibri"/>
                <w:color w:val="000000"/>
                <w:sz w:val="24"/>
                <w:szCs w:val="24"/>
              </w:rPr>
              <w:t>However,</w:t>
            </w:r>
            <w:r w:rsidR="00B55828">
              <w:rPr>
                <w:rFonts w:ascii="IBM Plex Sans" w:eastAsia="Times New Roman" w:hAnsi="IBM Plex Sans" w:cs="Calibri"/>
                <w:color w:val="000000"/>
                <w:sz w:val="24"/>
                <w:szCs w:val="24"/>
              </w:rPr>
              <w:t xml:space="preserve"> suggested some </w:t>
            </w:r>
            <w:r w:rsidR="001468EB">
              <w:rPr>
                <w:rFonts w:ascii="IBM Plex Sans" w:eastAsia="Times New Roman" w:hAnsi="IBM Plex Sans" w:cs="Calibri"/>
                <w:color w:val="000000"/>
                <w:sz w:val="24"/>
                <w:szCs w:val="24"/>
              </w:rPr>
              <w:t xml:space="preserve">key </w:t>
            </w:r>
            <w:r w:rsidR="00B55828">
              <w:rPr>
                <w:rFonts w:ascii="IBM Plex Sans" w:eastAsia="Times New Roman" w:hAnsi="IBM Plex Sans" w:cs="Calibri"/>
                <w:color w:val="000000"/>
                <w:sz w:val="24"/>
                <w:szCs w:val="24"/>
              </w:rPr>
              <w:t>components which constitutes the architecture</w:t>
            </w:r>
            <w:r w:rsidR="000F6729">
              <w:rPr>
                <w:rFonts w:ascii="IBM Plex Sans" w:eastAsia="Times New Roman" w:hAnsi="IBM Plex Sans" w:cs="Calibri"/>
                <w:color w:val="000000"/>
                <w:sz w:val="24"/>
                <w:szCs w:val="24"/>
              </w:rPr>
              <w:t xml:space="preserve">. </w:t>
            </w:r>
          </w:p>
        </w:tc>
      </w:tr>
    </w:tbl>
    <w:p w14:paraId="10D08E52" w14:textId="77777777" w:rsidR="007856B6" w:rsidRPr="00EE3A6E" w:rsidRDefault="007856B6" w:rsidP="001A14CC">
      <w:pPr>
        <w:jc w:val="both"/>
        <w:rPr>
          <w:rFonts w:ascii="IBM Plex Sans" w:hAnsi="IBM Plex Sans"/>
          <w:sz w:val="24"/>
          <w:szCs w:val="24"/>
        </w:rPr>
      </w:pPr>
    </w:p>
    <w:p w14:paraId="581240CB" w14:textId="77777777" w:rsidR="00D64EC6" w:rsidRPr="00EE3A6E" w:rsidRDefault="00D64EC6" w:rsidP="002419E6">
      <w:pPr>
        <w:rPr>
          <w:rFonts w:ascii="IBM Plex Sans" w:hAnsi="IBM Plex Sans"/>
          <w:sz w:val="24"/>
          <w:szCs w:val="24"/>
        </w:rPr>
      </w:pPr>
    </w:p>
    <w:p w14:paraId="16E9E8F1" w14:textId="0E56CC8F" w:rsidR="004132F6" w:rsidRPr="00483550" w:rsidRDefault="00483550">
      <w:pPr>
        <w:rPr>
          <w:rFonts w:ascii="IBM Plex Sans" w:eastAsiaTheme="majorEastAsia" w:hAnsi="IBM Plex Sans" w:cstheme="majorBidi"/>
          <w:color w:val="808080" w:themeColor="background1" w:themeShade="80"/>
          <w:sz w:val="24"/>
          <w:szCs w:val="24"/>
        </w:rPr>
      </w:pPr>
      <w:bookmarkStart w:id="1" w:name="_Toc141807398"/>
      <w:r w:rsidRPr="00483550">
        <w:rPr>
          <w:rFonts w:ascii="IBM Plex Sans" w:hAnsi="IBM Plex Sans"/>
          <w:color w:val="0070C0"/>
          <w:sz w:val="24"/>
          <w:szCs w:val="24"/>
        </w:rPr>
        <w:t xml:space="preserve">Open AI </w:t>
      </w:r>
      <w:r w:rsidR="006B561D" w:rsidRPr="00483550">
        <w:rPr>
          <w:rFonts w:ascii="IBM Plex Sans" w:hAnsi="IBM Plex Sans"/>
          <w:color w:val="0070C0"/>
          <w:sz w:val="24"/>
          <w:szCs w:val="24"/>
        </w:rPr>
        <w:t xml:space="preserve">Tools Used </w:t>
      </w:r>
      <w:r w:rsidRPr="00483550">
        <w:rPr>
          <w:rFonts w:ascii="IBM Plex Sans" w:hAnsi="IBM Plex Sans"/>
          <w:color w:val="0070C0"/>
          <w:sz w:val="24"/>
          <w:szCs w:val="24"/>
        </w:rPr>
        <w:t xml:space="preserve">to generate this </w:t>
      </w:r>
      <w:r w:rsidR="00271B3C" w:rsidRPr="00483550">
        <w:rPr>
          <w:rFonts w:ascii="IBM Plex Sans" w:hAnsi="IBM Plex Sans"/>
          <w:color w:val="0070C0"/>
          <w:sz w:val="24"/>
          <w:szCs w:val="24"/>
        </w:rPr>
        <w:t>whitepaper</w:t>
      </w:r>
      <w:r w:rsidR="00271B3C">
        <w:rPr>
          <w:rFonts w:ascii="IBM Plex Sans" w:hAnsi="IBM Plex Sans"/>
          <w:color w:val="0070C0"/>
          <w:sz w:val="24"/>
          <w:szCs w:val="24"/>
        </w:rPr>
        <w:t>:</w:t>
      </w:r>
      <w:r w:rsidRPr="00483550">
        <w:rPr>
          <w:rFonts w:ascii="IBM Plex Sans" w:hAnsi="IBM Plex Sans"/>
          <w:color w:val="0070C0"/>
          <w:sz w:val="24"/>
          <w:szCs w:val="24"/>
        </w:rPr>
        <w:t xml:space="preserve"> </w:t>
      </w:r>
      <w:r w:rsidRPr="00271B3C">
        <w:rPr>
          <w:rFonts w:ascii="IBM Plex Sans" w:hAnsi="IBM Plex Sans"/>
          <w:b/>
          <w:bCs/>
          <w:color w:val="808080" w:themeColor="background1" w:themeShade="80"/>
          <w:sz w:val="24"/>
          <w:szCs w:val="24"/>
        </w:rPr>
        <w:t>Chat GPT</w:t>
      </w:r>
      <w:r w:rsidR="004132F6" w:rsidRPr="00483550">
        <w:rPr>
          <w:rFonts w:ascii="IBM Plex Sans" w:hAnsi="IBM Plex Sans"/>
          <w:color w:val="808080" w:themeColor="background1" w:themeShade="80"/>
          <w:sz w:val="24"/>
          <w:szCs w:val="24"/>
        </w:rPr>
        <w:br w:type="page"/>
      </w:r>
    </w:p>
    <w:p w14:paraId="46905AA5" w14:textId="03D17E60" w:rsidR="001116DD" w:rsidRPr="00AB3D09" w:rsidRDefault="001249BA" w:rsidP="001116DD">
      <w:pPr>
        <w:pStyle w:val="Heading1"/>
        <w:rPr>
          <w:rFonts w:ascii="IBM Plex Sans" w:hAnsi="IBM Plex Sans"/>
          <w:color w:val="0070C0"/>
          <w:sz w:val="32"/>
          <w:szCs w:val="32"/>
        </w:rPr>
      </w:pPr>
      <w:sdt>
        <w:sdtPr>
          <w:rPr>
            <w:rFonts w:ascii="IBM Plex Sans" w:hAnsi="IBM Plex Sans"/>
            <w:color w:val="0070C0"/>
            <w:sz w:val="32"/>
            <w:szCs w:val="32"/>
          </w:rPr>
          <w:id w:val="386619514"/>
          <w:placeholder>
            <w:docPart w:val="D2A31A19B0704EE2A051649B20302BF3"/>
          </w:placeholder>
          <w:temporary/>
          <w:showingPlcHdr/>
          <w15:appearance w15:val="hidden"/>
        </w:sdtPr>
        <w:sdtEndPr/>
        <w:sdtContent>
          <w:r w:rsidR="001116DD" w:rsidRPr="00AB3D09">
            <w:rPr>
              <w:rFonts w:ascii="IBM Plex Sans" w:hAnsi="IBM Plex Sans"/>
              <w:noProof/>
              <w:color w:val="0070C0"/>
              <w:sz w:val="32"/>
              <w:szCs w:val="32"/>
            </w:rPr>
            <w:t>Introduction</w:t>
          </w:r>
        </w:sdtContent>
      </w:sdt>
      <w:bookmarkEnd w:id="1"/>
    </w:p>
    <w:p w14:paraId="69E0E1AF" w14:textId="0036D01D" w:rsidR="004E0977" w:rsidRPr="00EE3A6E" w:rsidRDefault="00F1276F" w:rsidP="00E67994">
      <w:pPr>
        <w:jc w:val="both"/>
        <w:rPr>
          <w:rFonts w:ascii="IBM Plex Sans" w:hAnsi="IBM Plex Sans"/>
          <w:sz w:val="24"/>
          <w:szCs w:val="24"/>
        </w:rPr>
      </w:pPr>
      <w:r w:rsidRPr="00EE3A6E">
        <w:rPr>
          <w:rFonts w:ascii="IBM Plex Sans" w:hAnsi="IBM Plex Sans"/>
          <w:sz w:val="24"/>
          <w:szCs w:val="24"/>
        </w:rPr>
        <w:t xml:space="preserve">The </w:t>
      </w:r>
      <w:r w:rsidR="002419E6" w:rsidRPr="00EE3A6E">
        <w:rPr>
          <w:rFonts w:ascii="IBM Plex Sans" w:hAnsi="IBM Plex Sans"/>
          <w:sz w:val="24"/>
          <w:szCs w:val="24"/>
        </w:rPr>
        <w:t>Federal Energy Regulatory Commission</w:t>
      </w:r>
      <w:r w:rsidRPr="00EE3A6E">
        <w:rPr>
          <w:rFonts w:ascii="IBM Plex Sans" w:hAnsi="IBM Plex Sans"/>
          <w:sz w:val="24"/>
          <w:szCs w:val="24"/>
        </w:rPr>
        <w:t xml:space="preserve"> (FERC)</w:t>
      </w:r>
      <w:r w:rsidR="002419E6" w:rsidRPr="00EE3A6E">
        <w:rPr>
          <w:rFonts w:ascii="IBM Plex Sans" w:hAnsi="IBM Plex Sans"/>
          <w:sz w:val="24"/>
          <w:szCs w:val="24"/>
        </w:rPr>
        <w:t xml:space="preserve"> passed Order #2222 in Septembe</w:t>
      </w:r>
      <w:r w:rsidRPr="00EE3A6E">
        <w:rPr>
          <w:rFonts w:ascii="IBM Plex Sans" w:hAnsi="IBM Plex Sans"/>
          <w:sz w:val="24"/>
          <w:szCs w:val="24"/>
        </w:rPr>
        <w:t xml:space="preserve">r </w:t>
      </w:r>
      <w:r w:rsidR="002419E6" w:rsidRPr="00EE3A6E">
        <w:rPr>
          <w:rFonts w:ascii="IBM Plex Sans" w:hAnsi="IBM Plex Sans"/>
          <w:sz w:val="24"/>
          <w:szCs w:val="24"/>
        </w:rPr>
        <w:t>2020</w:t>
      </w:r>
      <w:r w:rsidRPr="00EE3A6E">
        <w:rPr>
          <w:rFonts w:ascii="IBM Plex Sans" w:hAnsi="IBM Plex Sans"/>
          <w:sz w:val="24"/>
          <w:szCs w:val="24"/>
        </w:rPr>
        <w:t>.</w:t>
      </w:r>
      <w:r w:rsidR="002419E6" w:rsidRPr="00EE3A6E">
        <w:rPr>
          <w:rFonts w:ascii="IBM Plex Sans" w:hAnsi="IBM Plex Sans"/>
          <w:sz w:val="24"/>
          <w:szCs w:val="24"/>
        </w:rPr>
        <w:t xml:space="preserve"> In this paper</w:t>
      </w:r>
      <w:r w:rsidRPr="00EE3A6E">
        <w:rPr>
          <w:rFonts w:ascii="IBM Plex Sans" w:hAnsi="IBM Plex Sans"/>
          <w:sz w:val="24"/>
          <w:szCs w:val="24"/>
        </w:rPr>
        <w:t>,</w:t>
      </w:r>
      <w:r w:rsidR="002419E6" w:rsidRPr="00EE3A6E">
        <w:rPr>
          <w:rFonts w:ascii="IBM Plex Sans" w:hAnsi="IBM Plex Sans"/>
          <w:sz w:val="24"/>
          <w:szCs w:val="24"/>
        </w:rPr>
        <w:t xml:space="preserve"> we </w:t>
      </w:r>
      <w:r w:rsidRPr="00EE3A6E">
        <w:rPr>
          <w:rFonts w:ascii="IBM Plex Sans" w:hAnsi="IBM Plex Sans"/>
          <w:sz w:val="24"/>
          <w:szCs w:val="24"/>
        </w:rPr>
        <w:t>provide</w:t>
      </w:r>
      <w:r w:rsidR="002419E6" w:rsidRPr="00EE3A6E">
        <w:rPr>
          <w:rFonts w:ascii="IBM Plex Sans" w:hAnsi="IBM Plex Sans"/>
          <w:sz w:val="24"/>
          <w:szCs w:val="24"/>
        </w:rPr>
        <w:t xml:space="preserve"> details on this order and its implications on the energy markets and utility operations.</w:t>
      </w:r>
      <w:r w:rsidR="00585CD2" w:rsidRPr="00EE3A6E">
        <w:rPr>
          <w:rFonts w:ascii="IBM Plex Sans" w:hAnsi="IBM Plex Sans"/>
          <w:sz w:val="24"/>
          <w:szCs w:val="24"/>
        </w:rPr>
        <w:t xml:space="preserve"> </w:t>
      </w:r>
    </w:p>
    <w:p w14:paraId="18A5F36F" w14:textId="192AC7A7" w:rsidR="00697361" w:rsidRPr="00EE3A6E" w:rsidRDefault="00697361" w:rsidP="00E67994">
      <w:pPr>
        <w:jc w:val="both"/>
        <w:rPr>
          <w:rFonts w:ascii="IBM Plex Sans" w:hAnsi="IBM Plex Sans"/>
          <w:sz w:val="24"/>
          <w:szCs w:val="24"/>
        </w:rPr>
      </w:pPr>
      <w:r w:rsidRPr="00EE3A6E">
        <w:rPr>
          <w:rFonts w:ascii="IBM Plex Sans" w:hAnsi="IBM Plex Sans"/>
          <w:sz w:val="24"/>
          <w:szCs w:val="24"/>
        </w:rPr>
        <w:t>“</w:t>
      </w:r>
      <w:r w:rsidRPr="00EE3A6E">
        <w:rPr>
          <w:rFonts w:ascii="IBM Plex Sans" w:hAnsi="IBM Plex Sans"/>
          <w:i/>
          <w:iCs/>
          <w:sz w:val="24"/>
          <w:szCs w:val="24"/>
        </w:rPr>
        <w:t>FERC Order No. 2222 (O2222) will help usher in the electric grid of the future and promote competition in electric markets by removing the barriers preventing distributed energy resources (DERs) from competing on a level playing field in the organized capacity, energy and ancillary services markets run by regional grid operators</w:t>
      </w:r>
      <w:r w:rsidR="00FD63E5">
        <w:rPr>
          <w:rFonts w:ascii="IBM Plex Sans" w:hAnsi="IBM Plex Sans"/>
          <w:i/>
          <w:iCs/>
          <w:sz w:val="24"/>
          <w:szCs w:val="24"/>
        </w:rPr>
        <w:t>.</w:t>
      </w:r>
      <w:r w:rsidRPr="00EE3A6E">
        <w:rPr>
          <w:rFonts w:ascii="IBM Plex Sans" w:hAnsi="IBM Plex Sans"/>
          <w:sz w:val="24"/>
          <w:szCs w:val="24"/>
        </w:rPr>
        <w:t>”</w:t>
      </w:r>
    </w:p>
    <w:p w14:paraId="74872823" w14:textId="4790BEAE" w:rsidR="00631916" w:rsidRPr="00EE3A6E" w:rsidRDefault="0030548D" w:rsidP="00E67994">
      <w:pPr>
        <w:jc w:val="both"/>
        <w:rPr>
          <w:rFonts w:ascii="IBM Plex Sans" w:hAnsi="IBM Plex Sans"/>
          <w:sz w:val="24"/>
          <w:szCs w:val="24"/>
        </w:rPr>
      </w:pPr>
      <w:r w:rsidRPr="00EE3A6E">
        <w:rPr>
          <w:rFonts w:ascii="IBM Plex Sans" w:hAnsi="IBM Plex Sans"/>
          <w:sz w:val="24"/>
          <w:szCs w:val="24"/>
        </w:rPr>
        <w:t>Th</w:t>
      </w:r>
      <w:r w:rsidR="00DB4D7A" w:rsidRPr="00EE3A6E">
        <w:rPr>
          <w:rFonts w:ascii="IBM Plex Sans" w:hAnsi="IBM Plex Sans"/>
          <w:sz w:val="24"/>
          <w:szCs w:val="24"/>
        </w:rPr>
        <w:t>e</w:t>
      </w:r>
      <w:r w:rsidRPr="00EE3A6E">
        <w:rPr>
          <w:rFonts w:ascii="IBM Plex Sans" w:hAnsi="IBM Plex Sans"/>
          <w:sz w:val="24"/>
          <w:szCs w:val="24"/>
        </w:rPr>
        <w:t xml:space="preserve"> order will </w:t>
      </w:r>
      <w:r w:rsidR="00C96723" w:rsidRPr="00EE3A6E">
        <w:rPr>
          <w:rFonts w:ascii="IBM Plex Sans" w:hAnsi="IBM Plex Sans"/>
          <w:sz w:val="24"/>
          <w:szCs w:val="24"/>
        </w:rPr>
        <w:t>proliferate</w:t>
      </w:r>
      <w:r w:rsidRPr="00EE3A6E">
        <w:rPr>
          <w:rFonts w:ascii="IBM Plex Sans" w:hAnsi="IBM Plex Sans"/>
          <w:sz w:val="24"/>
          <w:szCs w:val="24"/>
        </w:rPr>
        <w:t xml:space="preserve"> distributed energy resources (DERs) </w:t>
      </w:r>
      <w:r w:rsidR="00C96723" w:rsidRPr="00EE3A6E">
        <w:rPr>
          <w:rFonts w:ascii="IBM Plex Sans" w:hAnsi="IBM Plex Sans"/>
          <w:sz w:val="24"/>
          <w:szCs w:val="24"/>
        </w:rPr>
        <w:t xml:space="preserve">and </w:t>
      </w:r>
      <w:r w:rsidR="00EB44E3" w:rsidRPr="00EE3A6E">
        <w:rPr>
          <w:rFonts w:ascii="IBM Plex Sans" w:hAnsi="IBM Plex Sans"/>
          <w:sz w:val="24"/>
          <w:szCs w:val="24"/>
        </w:rPr>
        <w:t>it will</w:t>
      </w:r>
      <w:r w:rsidRPr="00EE3A6E">
        <w:rPr>
          <w:rFonts w:ascii="IBM Plex Sans" w:hAnsi="IBM Plex Sans"/>
          <w:sz w:val="24"/>
          <w:szCs w:val="24"/>
        </w:rPr>
        <w:t xml:space="preserve"> </w:t>
      </w:r>
      <w:r w:rsidR="00C96723" w:rsidRPr="00EE3A6E">
        <w:rPr>
          <w:rFonts w:ascii="IBM Plex Sans" w:hAnsi="IBM Plex Sans"/>
          <w:sz w:val="24"/>
          <w:szCs w:val="24"/>
        </w:rPr>
        <w:t>create</w:t>
      </w:r>
      <w:r w:rsidRPr="00EE3A6E">
        <w:rPr>
          <w:rFonts w:ascii="IBM Plex Sans" w:hAnsi="IBM Plex Sans"/>
          <w:sz w:val="24"/>
          <w:szCs w:val="24"/>
        </w:rPr>
        <w:t xml:space="preserve"> </w:t>
      </w:r>
      <w:r w:rsidR="00153348" w:rsidRPr="00EE3A6E">
        <w:rPr>
          <w:rFonts w:ascii="IBM Plex Sans" w:hAnsi="IBM Plex Sans"/>
          <w:sz w:val="24"/>
          <w:szCs w:val="24"/>
        </w:rPr>
        <w:t>a level</w:t>
      </w:r>
      <w:r w:rsidRPr="00EE3A6E">
        <w:rPr>
          <w:rFonts w:ascii="IBM Plex Sans" w:hAnsi="IBM Plex Sans"/>
          <w:sz w:val="24"/>
          <w:szCs w:val="24"/>
        </w:rPr>
        <w:t xml:space="preserve"> playing field for small DERs</w:t>
      </w:r>
      <w:r w:rsidR="00C96723" w:rsidRPr="00EE3A6E">
        <w:rPr>
          <w:rFonts w:ascii="IBM Plex Sans" w:hAnsi="IBM Plex Sans"/>
          <w:sz w:val="24"/>
          <w:szCs w:val="24"/>
        </w:rPr>
        <w:t>. It</w:t>
      </w:r>
      <w:r w:rsidR="00153348" w:rsidRPr="00EE3A6E">
        <w:rPr>
          <w:rFonts w:ascii="IBM Plex Sans" w:hAnsi="IBM Plex Sans"/>
          <w:sz w:val="24"/>
          <w:szCs w:val="24"/>
        </w:rPr>
        <w:t xml:space="preserve"> </w:t>
      </w:r>
      <w:r w:rsidR="00C96723" w:rsidRPr="00EE3A6E">
        <w:rPr>
          <w:rFonts w:ascii="IBM Plex Sans" w:hAnsi="IBM Plex Sans"/>
          <w:sz w:val="24"/>
          <w:szCs w:val="24"/>
        </w:rPr>
        <w:t>will help</w:t>
      </w:r>
      <w:r w:rsidR="00153348" w:rsidRPr="00EE3A6E">
        <w:rPr>
          <w:rFonts w:ascii="IBM Plex Sans" w:hAnsi="IBM Plex Sans"/>
          <w:sz w:val="24"/>
          <w:szCs w:val="24"/>
        </w:rPr>
        <w:t xml:space="preserve"> stabiliz</w:t>
      </w:r>
      <w:r w:rsidR="00743A29" w:rsidRPr="00EE3A6E">
        <w:rPr>
          <w:rFonts w:ascii="IBM Plex Sans" w:hAnsi="IBM Plex Sans"/>
          <w:sz w:val="24"/>
          <w:szCs w:val="24"/>
        </w:rPr>
        <w:t>e the</w:t>
      </w:r>
      <w:r w:rsidR="00153348" w:rsidRPr="00EE3A6E">
        <w:rPr>
          <w:rFonts w:ascii="IBM Plex Sans" w:hAnsi="IBM Plex Sans"/>
          <w:sz w:val="24"/>
          <w:szCs w:val="24"/>
        </w:rPr>
        <w:t xml:space="preserve"> grid</w:t>
      </w:r>
      <w:r w:rsidR="00743A29" w:rsidRPr="00EE3A6E">
        <w:rPr>
          <w:rFonts w:ascii="IBM Plex Sans" w:hAnsi="IBM Plex Sans"/>
          <w:sz w:val="24"/>
          <w:szCs w:val="24"/>
        </w:rPr>
        <w:t>,</w:t>
      </w:r>
      <w:r w:rsidR="00153348" w:rsidRPr="00EE3A6E">
        <w:rPr>
          <w:rFonts w:ascii="IBM Plex Sans" w:hAnsi="IBM Plex Sans"/>
          <w:sz w:val="24"/>
          <w:szCs w:val="24"/>
        </w:rPr>
        <w:t xml:space="preserve"> </w:t>
      </w:r>
      <w:r w:rsidR="00743A29" w:rsidRPr="00EE3A6E">
        <w:rPr>
          <w:rFonts w:ascii="IBM Plex Sans" w:hAnsi="IBM Plex Sans"/>
          <w:sz w:val="24"/>
          <w:szCs w:val="24"/>
        </w:rPr>
        <w:t>especially</w:t>
      </w:r>
      <w:r w:rsidR="00153348" w:rsidRPr="00EE3A6E">
        <w:rPr>
          <w:rFonts w:ascii="IBM Plex Sans" w:hAnsi="IBM Plex Sans"/>
          <w:sz w:val="24"/>
          <w:szCs w:val="24"/>
        </w:rPr>
        <w:t xml:space="preserve"> for the </w:t>
      </w:r>
      <w:r w:rsidR="00C96723" w:rsidRPr="00EE3A6E">
        <w:rPr>
          <w:rFonts w:ascii="IBM Plex Sans" w:hAnsi="IBM Plex Sans"/>
          <w:sz w:val="24"/>
          <w:szCs w:val="24"/>
        </w:rPr>
        <w:t>ever-increasing</w:t>
      </w:r>
      <w:r w:rsidR="00153348" w:rsidRPr="00EE3A6E">
        <w:rPr>
          <w:rFonts w:ascii="IBM Plex Sans" w:hAnsi="IBM Plex Sans"/>
          <w:sz w:val="24"/>
          <w:szCs w:val="24"/>
        </w:rPr>
        <w:t xml:space="preserve"> demand</w:t>
      </w:r>
      <w:r w:rsidR="00743A29" w:rsidRPr="00EE3A6E">
        <w:rPr>
          <w:rFonts w:ascii="IBM Plex Sans" w:hAnsi="IBM Plex Sans"/>
          <w:sz w:val="24"/>
          <w:szCs w:val="24"/>
        </w:rPr>
        <w:t>,</w:t>
      </w:r>
      <w:r w:rsidR="00C96723" w:rsidRPr="00EE3A6E">
        <w:rPr>
          <w:rFonts w:ascii="IBM Plex Sans" w:hAnsi="IBM Plex Sans"/>
          <w:sz w:val="24"/>
          <w:szCs w:val="24"/>
        </w:rPr>
        <w:t xml:space="preserve"> as well </w:t>
      </w:r>
      <w:r w:rsidR="00743A29" w:rsidRPr="00EE3A6E">
        <w:rPr>
          <w:rFonts w:ascii="IBM Plex Sans" w:hAnsi="IBM Plex Sans"/>
          <w:sz w:val="24"/>
          <w:szCs w:val="24"/>
        </w:rPr>
        <w:t>as</w:t>
      </w:r>
      <w:r w:rsidR="00016072" w:rsidRPr="00EE3A6E">
        <w:rPr>
          <w:rFonts w:ascii="IBM Plex Sans" w:hAnsi="IBM Plex Sans"/>
          <w:sz w:val="24"/>
          <w:szCs w:val="24"/>
        </w:rPr>
        <w:t xml:space="preserve"> </w:t>
      </w:r>
      <w:r w:rsidR="00C96723" w:rsidRPr="00EE3A6E">
        <w:rPr>
          <w:rFonts w:ascii="IBM Plex Sans" w:hAnsi="IBM Plex Sans"/>
          <w:sz w:val="24"/>
          <w:szCs w:val="24"/>
        </w:rPr>
        <w:t xml:space="preserve">enable </w:t>
      </w:r>
      <w:r w:rsidR="00016072" w:rsidRPr="00EE3A6E">
        <w:rPr>
          <w:rFonts w:ascii="IBM Plex Sans" w:hAnsi="IBM Plex Sans"/>
          <w:sz w:val="24"/>
          <w:szCs w:val="24"/>
        </w:rPr>
        <w:t>aggregation of DERs</w:t>
      </w:r>
      <w:r w:rsidR="00C96723" w:rsidRPr="00EE3A6E">
        <w:rPr>
          <w:rFonts w:ascii="IBM Plex Sans" w:hAnsi="IBM Plex Sans"/>
          <w:sz w:val="24"/>
          <w:szCs w:val="24"/>
        </w:rPr>
        <w:t>. Overall, th</w:t>
      </w:r>
      <w:r w:rsidR="00DB4D7A" w:rsidRPr="00EE3A6E">
        <w:rPr>
          <w:rFonts w:ascii="IBM Plex Sans" w:hAnsi="IBM Plex Sans"/>
          <w:sz w:val="24"/>
          <w:szCs w:val="24"/>
        </w:rPr>
        <w:t xml:space="preserve">is </w:t>
      </w:r>
      <w:r w:rsidR="00C96723" w:rsidRPr="00EE3A6E">
        <w:rPr>
          <w:rFonts w:ascii="IBM Plex Sans" w:hAnsi="IBM Plex Sans"/>
          <w:sz w:val="24"/>
          <w:szCs w:val="24"/>
        </w:rPr>
        <w:t>order</w:t>
      </w:r>
      <w:r w:rsidR="00DB4D7A" w:rsidRPr="00EE3A6E">
        <w:rPr>
          <w:rFonts w:ascii="IBM Plex Sans" w:hAnsi="IBM Plex Sans"/>
          <w:sz w:val="24"/>
          <w:szCs w:val="24"/>
        </w:rPr>
        <w:t xml:space="preserve"> is</w:t>
      </w:r>
      <w:r w:rsidR="00C96723" w:rsidRPr="00EE3A6E">
        <w:rPr>
          <w:rFonts w:ascii="IBM Plex Sans" w:hAnsi="IBM Plex Sans"/>
          <w:sz w:val="24"/>
          <w:szCs w:val="24"/>
        </w:rPr>
        <w:t xml:space="preserve"> likely to increase market competitiveness and will benefit </w:t>
      </w:r>
      <w:r w:rsidR="00743A29" w:rsidRPr="00EE3A6E">
        <w:rPr>
          <w:rFonts w:ascii="IBM Plex Sans" w:hAnsi="IBM Plex Sans"/>
          <w:sz w:val="24"/>
          <w:szCs w:val="24"/>
        </w:rPr>
        <w:t xml:space="preserve">the </w:t>
      </w:r>
      <w:r w:rsidR="00C96723" w:rsidRPr="00EE3A6E">
        <w:rPr>
          <w:rFonts w:ascii="IBM Plex Sans" w:hAnsi="IBM Plex Sans"/>
          <w:sz w:val="24"/>
          <w:szCs w:val="24"/>
        </w:rPr>
        <w:t xml:space="preserve">end customers. </w:t>
      </w:r>
      <w:r w:rsidR="00743A29" w:rsidRPr="00EE3A6E">
        <w:rPr>
          <w:rFonts w:ascii="IBM Plex Sans" w:hAnsi="IBM Plex Sans"/>
          <w:sz w:val="24"/>
          <w:szCs w:val="24"/>
        </w:rPr>
        <w:t>In addition, this order</w:t>
      </w:r>
      <w:r w:rsidR="00C96723" w:rsidRPr="00EE3A6E">
        <w:rPr>
          <w:rFonts w:ascii="IBM Plex Sans" w:hAnsi="IBM Plex Sans"/>
          <w:sz w:val="24"/>
          <w:szCs w:val="24"/>
        </w:rPr>
        <w:t xml:space="preserve"> will increase availability of clean energy in</w:t>
      </w:r>
      <w:r w:rsidR="00743A29" w:rsidRPr="00EE3A6E">
        <w:rPr>
          <w:rFonts w:ascii="IBM Plex Sans" w:hAnsi="IBM Plex Sans"/>
          <w:sz w:val="24"/>
          <w:szCs w:val="24"/>
        </w:rPr>
        <w:t xml:space="preserve"> the</w:t>
      </w:r>
      <w:r w:rsidR="00C96723" w:rsidRPr="00EE3A6E">
        <w:rPr>
          <w:rFonts w:ascii="IBM Plex Sans" w:hAnsi="IBM Plex Sans"/>
          <w:sz w:val="24"/>
          <w:szCs w:val="24"/>
        </w:rPr>
        <w:t xml:space="preserve"> </w:t>
      </w:r>
      <w:r w:rsidR="00183DF7" w:rsidRPr="00EE3A6E">
        <w:rPr>
          <w:rFonts w:ascii="IBM Plex Sans" w:hAnsi="IBM Plex Sans"/>
          <w:sz w:val="24"/>
          <w:szCs w:val="24"/>
        </w:rPr>
        <w:t>medium</w:t>
      </w:r>
      <w:r w:rsidR="00AE0415" w:rsidRPr="00EE3A6E">
        <w:rPr>
          <w:rFonts w:ascii="IBM Plex Sans" w:hAnsi="IBM Plex Sans"/>
          <w:sz w:val="24"/>
          <w:szCs w:val="24"/>
        </w:rPr>
        <w:t>-</w:t>
      </w:r>
      <w:r w:rsidR="00183DF7" w:rsidRPr="00EE3A6E">
        <w:rPr>
          <w:rFonts w:ascii="IBM Plex Sans" w:hAnsi="IBM Plex Sans"/>
          <w:sz w:val="24"/>
          <w:szCs w:val="24"/>
        </w:rPr>
        <w:t>term</w:t>
      </w:r>
      <w:r w:rsidR="00DF7D5F" w:rsidRPr="00EE3A6E">
        <w:rPr>
          <w:rFonts w:ascii="IBM Plex Sans" w:hAnsi="IBM Plex Sans"/>
          <w:sz w:val="24"/>
          <w:szCs w:val="24"/>
        </w:rPr>
        <w:t xml:space="preserve"> and long-term </w:t>
      </w:r>
      <w:r w:rsidR="00DB4D7A" w:rsidRPr="00EE3A6E">
        <w:rPr>
          <w:rFonts w:ascii="IBM Plex Sans" w:hAnsi="IBM Plex Sans"/>
          <w:sz w:val="24"/>
          <w:szCs w:val="24"/>
        </w:rPr>
        <w:t>and</w:t>
      </w:r>
      <w:r w:rsidR="00DF7D5F" w:rsidRPr="00EE3A6E">
        <w:rPr>
          <w:rFonts w:ascii="IBM Plex Sans" w:hAnsi="IBM Plex Sans"/>
          <w:sz w:val="24"/>
          <w:szCs w:val="24"/>
        </w:rPr>
        <w:t xml:space="preserve"> can </w:t>
      </w:r>
      <w:r w:rsidR="00F97D1C" w:rsidRPr="00EE3A6E">
        <w:rPr>
          <w:rFonts w:ascii="IBM Plex Sans" w:hAnsi="IBM Plex Sans"/>
          <w:sz w:val="24"/>
          <w:szCs w:val="24"/>
        </w:rPr>
        <w:t>help</w:t>
      </w:r>
      <w:r w:rsidR="00DF7D5F" w:rsidRPr="00EE3A6E">
        <w:rPr>
          <w:rFonts w:ascii="IBM Plex Sans" w:hAnsi="IBM Plex Sans"/>
          <w:sz w:val="24"/>
          <w:szCs w:val="24"/>
        </w:rPr>
        <w:t xml:space="preserve"> </w:t>
      </w:r>
      <w:r w:rsidR="00F97D1C" w:rsidRPr="00EE3A6E">
        <w:rPr>
          <w:rFonts w:ascii="IBM Plex Sans" w:hAnsi="IBM Plex Sans"/>
          <w:sz w:val="24"/>
          <w:szCs w:val="24"/>
        </w:rPr>
        <w:t>in</w:t>
      </w:r>
      <w:r w:rsidR="00DF7D5F" w:rsidRPr="00EE3A6E">
        <w:rPr>
          <w:rFonts w:ascii="IBM Plex Sans" w:hAnsi="IBM Plex Sans"/>
          <w:sz w:val="24"/>
          <w:szCs w:val="24"/>
        </w:rPr>
        <w:t xml:space="preserve"> achieving </w:t>
      </w:r>
      <w:r w:rsidR="00743A29" w:rsidRPr="00EE3A6E">
        <w:rPr>
          <w:rFonts w:ascii="IBM Plex Sans" w:hAnsi="IBM Plex Sans"/>
          <w:sz w:val="24"/>
          <w:szCs w:val="24"/>
        </w:rPr>
        <w:t>n</w:t>
      </w:r>
      <w:r w:rsidR="00DF7D5F" w:rsidRPr="00EE3A6E">
        <w:rPr>
          <w:rFonts w:ascii="IBM Plex Sans" w:hAnsi="IBM Plex Sans"/>
          <w:sz w:val="24"/>
          <w:szCs w:val="24"/>
        </w:rPr>
        <w:t>et-</w:t>
      </w:r>
      <w:r w:rsidR="00743A29" w:rsidRPr="00EE3A6E">
        <w:rPr>
          <w:rFonts w:ascii="IBM Plex Sans" w:hAnsi="IBM Plex Sans"/>
          <w:sz w:val="24"/>
          <w:szCs w:val="24"/>
        </w:rPr>
        <w:t>z</w:t>
      </w:r>
      <w:r w:rsidR="00DF7D5F" w:rsidRPr="00EE3A6E">
        <w:rPr>
          <w:rFonts w:ascii="IBM Plex Sans" w:hAnsi="IBM Plex Sans"/>
          <w:sz w:val="24"/>
          <w:szCs w:val="24"/>
        </w:rPr>
        <w:t>ero</w:t>
      </w:r>
      <w:r w:rsidR="00743A29" w:rsidRPr="00EE3A6E">
        <w:rPr>
          <w:rFonts w:ascii="IBM Plex Sans" w:hAnsi="IBM Plex Sans"/>
          <w:sz w:val="24"/>
          <w:szCs w:val="24"/>
        </w:rPr>
        <w:t xml:space="preserve"> carbon</w:t>
      </w:r>
      <w:r w:rsidR="00DF7D5F" w:rsidRPr="00EE3A6E">
        <w:rPr>
          <w:rFonts w:ascii="IBM Plex Sans" w:hAnsi="IBM Plex Sans"/>
          <w:sz w:val="24"/>
          <w:szCs w:val="24"/>
        </w:rPr>
        <w:t xml:space="preserve"> targets</w:t>
      </w:r>
      <w:r w:rsidR="00F97D1C" w:rsidRPr="00EE3A6E">
        <w:rPr>
          <w:rFonts w:ascii="IBM Plex Sans" w:hAnsi="IBM Plex Sans"/>
          <w:sz w:val="24"/>
          <w:szCs w:val="24"/>
        </w:rPr>
        <w:t xml:space="preserve"> for all involved entities.</w:t>
      </w:r>
    </w:p>
    <w:p w14:paraId="79C1DA1D" w14:textId="555F2106" w:rsidR="00DA55F0" w:rsidRDefault="00016072" w:rsidP="00DF6FB5">
      <w:pPr>
        <w:jc w:val="both"/>
        <w:rPr>
          <w:rFonts w:ascii="IBM Plex Sans" w:hAnsi="IBM Plex Sans"/>
          <w:sz w:val="24"/>
          <w:szCs w:val="24"/>
        </w:rPr>
      </w:pPr>
      <w:r w:rsidRPr="00EE3A6E">
        <w:rPr>
          <w:rFonts w:ascii="IBM Plex Sans" w:hAnsi="IBM Plex Sans"/>
          <w:sz w:val="24"/>
          <w:szCs w:val="24"/>
        </w:rPr>
        <w:t xml:space="preserve">Integrating DERs in wholesale markets </w:t>
      </w:r>
      <w:r w:rsidR="004B3E9F" w:rsidRPr="00EE3A6E">
        <w:rPr>
          <w:rFonts w:ascii="IBM Plex Sans" w:hAnsi="IBM Plex Sans"/>
          <w:sz w:val="24"/>
          <w:szCs w:val="24"/>
        </w:rPr>
        <w:t>provides</w:t>
      </w:r>
      <w:r w:rsidRPr="00EE3A6E">
        <w:rPr>
          <w:rFonts w:ascii="IBM Plex Sans" w:hAnsi="IBM Plex Sans"/>
          <w:sz w:val="24"/>
          <w:szCs w:val="24"/>
        </w:rPr>
        <w:t xml:space="preserve"> a new set of flexible resources that grid operators can </w:t>
      </w:r>
      <w:r w:rsidR="004B3E9F" w:rsidRPr="00EE3A6E">
        <w:rPr>
          <w:rFonts w:ascii="IBM Plex Sans" w:hAnsi="IBM Plex Sans"/>
          <w:sz w:val="24"/>
          <w:szCs w:val="24"/>
        </w:rPr>
        <w:t>utilize during peak</w:t>
      </w:r>
      <w:r w:rsidR="00AE0415" w:rsidRPr="00EE3A6E">
        <w:rPr>
          <w:rFonts w:ascii="IBM Plex Sans" w:hAnsi="IBM Plex Sans"/>
          <w:sz w:val="24"/>
          <w:szCs w:val="24"/>
        </w:rPr>
        <w:t xml:space="preserve"> demand</w:t>
      </w:r>
      <w:r w:rsidRPr="00EE3A6E">
        <w:rPr>
          <w:rFonts w:ascii="IBM Plex Sans" w:hAnsi="IBM Plex Sans"/>
          <w:sz w:val="24"/>
          <w:szCs w:val="24"/>
        </w:rPr>
        <w:t xml:space="preserve">. </w:t>
      </w:r>
      <w:r w:rsidR="00EC4BDD" w:rsidRPr="00EE3A6E">
        <w:rPr>
          <w:rFonts w:ascii="IBM Plex Sans" w:hAnsi="IBM Plex Sans"/>
          <w:sz w:val="24"/>
          <w:szCs w:val="24"/>
        </w:rPr>
        <w:t>T</w:t>
      </w:r>
      <w:r w:rsidR="004B3E9F" w:rsidRPr="00EE3A6E">
        <w:rPr>
          <w:rFonts w:ascii="IBM Plex Sans" w:hAnsi="IBM Plex Sans"/>
          <w:sz w:val="24"/>
          <w:szCs w:val="24"/>
        </w:rPr>
        <w:t>his will provide new opportunities and reliable</w:t>
      </w:r>
      <w:r w:rsidR="00CD5BD3" w:rsidRPr="00EE3A6E">
        <w:rPr>
          <w:rFonts w:ascii="IBM Plex Sans" w:hAnsi="IBM Plex Sans"/>
          <w:sz w:val="24"/>
          <w:szCs w:val="24"/>
        </w:rPr>
        <w:t xml:space="preserve"> commercial</w:t>
      </w:r>
      <w:r w:rsidR="004B3E9F" w:rsidRPr="00EE3A6E">
        <w:rPr>
          <w:rFonts w:ascii="IBM Plex Sans" w:hAnsi="IBM Plex Sans"/>
          <w:sz w:val="24"/>
          <w:szCs w:val="24"/>
        </w:rPr>
        <w:t xml:space="preserve"> </w:t>
      </w:r>
      <w:r w:rsidR="00CD5BD3" w:rsidRPr="00EE3A6E">
        <w:rPr>
          <w:rFonts w:ascii="IBM Plex Sans" w:hAnsi="IBM Plex Sans"/>
          <w:sz w:val="24"/>
          <w:szCs w:val="24"/>
        </w:rPr>
        <w:t>avenue</w:t>
      </w:r>
      <w:r w:rsidR="002F23C5" w:rsidRPr="00EE3A6E">
        <w:rPr>
          <w:rFonts w:ascii="IBM Plex Sans" w:hAnsi="IBM Plex Sans"/>
          <w:sz w:val="24"/>
          <w:szCs w:val="24"/>
        </w:rPr>
        <w:t>s</w:t>
      </w:r>
      <w:r w:rsidR="00EC4BDD" w:rsidRPr="00EE3A6E">
        <w:rPr>
          <w:rFonts w:ascii="IBM Plex Sans" w:hAnsi="IBM Plex Sans"/>
          <w:sz w:val="24"/>
          <w:szCs w:val="24"/>
        </w:rPr>
        <w:t xml:space="preserve"> for DER Operators</w:t>
      </w:r>
      <w:r w:rsidR="00CD5BD3" w:rsidRPr="00EE3A6E">
        <w:rPr>
          <w:rFonts w:ascii="IBM Plex Sans" w:hAnsi="IBM Plex Sans"/>
          <w:sz w:val="24"/>
          <w:szCs w:val="24"/>
        </w:rPr>
        <w:t>.</w:t>
      </w:r>
    </w:p>
    <w:p w14:paraId="63783C26" w14:textId="6146D707" w:rsidR="005E74C8" w:rsidRPr="00793A07" w:rsidRDefault="00A96D9A" w:rsidP="00DF6FB5">
      <w:pPr>
        <w:jc w:val="center"/>
        <w:rPr>
          <w:rFonts w:ascii="IBM Plex Sans" w:hAnsi="IBM Plex Sans"/>
          <w:sz w:val="24"/>
          <w:szCs w:val="24"/>
        </w:rPr>
      </w:pPr>
      <w:r>
        <w:rPr>
          <w:rFonts w:ascii="IBM Plex Sans" w:hAnsi="IBM Plex Sans"/>
          <w:noProof/>
          <w:sz w:val="24"/>
          <w:szCs w:val="24"/>
        </w:rPr>
        <w:drawing>
          <wp:inline distT="0" distB="0" distL="0" distR="0" wp14:anchorId="003D90A1" wp14:editId="65BD9C75">
            <wp:extent cx="4907503" cy="3102707"/>
            <wp:effectExtent l="0" t="0" r="762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3426" cy="3112774"/>
                    </a:xfrm>
                    <a:prstGeom prst="rect">
                      <a:avLst/>
                    </a:prstGeom>
                    <a:noFill/>
                  </pic:spPr>
                </pic:pic>
              </a:graphicData>
            </a:graphic>
          </wp:inline>
        </w:drawing>
      </w:r>
    </w:p>
    <w:p w14:paraId="6ED413BD" w14:textId="5E05D553" w:rsidR="00565D7B" w:rsidRPr="00871858" w:rsidRDefault="00EC4BDD" w:rsidP="00DF6FB5">
      <w:pPr>
        <w:jc w:val="center"/>
        <w:rPr>
          <w:rFonts w:ascii="IBM Plex Sans" w:hAnsi="IBM Plex Sans"/>
          <w:b/>
          <w:bCs/>
          <w:noProof/>
          <w:color w:val="767171" w:themeColor="background2" w:themeShade="80"/>
          <w:sz w:val="18"/>
          <w:szCs w:val="18"/>
        </w:rPr>
      </w:pPr>
      <w:commentRangeStart w:id="2"/>
      <w:commentRangeStart w:id="3"/>
      <w:commentRangeStart w:id="4"/>
      <w:commentRangeEnd w:id="2"/>
      <w:r w:rsidRPr="00871858">
        <w:rPr>
          <w:rStyle w:val="CommentReference"/>
          <w:color w:val="767171" w:themeColor="background2" w:themeShade="80"/>
          <w:sz w:val="14"/>
          <w:szCs w:val="14"/>
        </w:rPr>
        <w:commentReference w:id="2"/>
      </w:r>
      <w:commentRangeEnd w:id="3"/>
      <w:r w:rsidR="00AB129E" w:rsidRPr="00871858">
        <w:rPr>
          <w:rStyle w:val="CommentReference"/>
          <w:color w:val="767171" w:themeColor="background2" w:themeShade="80"/>
        </w:rPr>
        <w:commentReference w:id="3"/>
      </w:r>
      <w:commentRangeEnd w:id="4"/>
      <w:r w:rsidR="00B87826" w:rsidRPr="00871858">
        <w:rPr>
          <w:rStyle w:val="CommentReference"/>
          <w:color w:val="767171" w:themeColor="background2" w:themeShade="80"/>
        </w:rPr>
        <w:commentReference w:id="4"/>
      </w:r>
      <w:r w:rsidR="00F85857" w:rsidRPr="00871858">
        <w:rPr>
          <w:rFonts w:ascii="IBM Plex Sans" w:hAnsi="IBM Plex Sans"/>
          <w:b/>
          <w:bCs/>
          <w:noProof/>
          <w:color w:val="767171" w:themeColor="background2" w:themeShade="80"/>
          <w:sz w:val="18"/>
          <w:szCs w:val="18"/>
        </w:rPr>
        <w:t>DER Aggregaton Model</w:t>
      </w:r>
    </w:p>
    <w:p w14:paraId="5E8AA92B" w14:textId="0888C7C4" w:rsidR="00565D7B" w:rsidRPr="00EE3A6E" w:rsidRDefault="00565D7B" w:rsidP="00DF6FB5">
      <w:pPr>
        <w:jc w:val="center"/>
        <w:rPr>
          <w:rFonts w:ascii="IBM Plex Sans" w:hAnsi="IBM Plex Sans"/>
          <w:noProof/>
        </w:rPr>
      </w:pPr>
    </w:p>
    <w:p w14:paraId="028DF66D" w14:textId="07BBBF3F" w:rsidR="00565D7B" w:rsidRPr="00EE53EF" w:rsidRDefault="00565D7B" w:rsidP="00E67994">
      <w:pPr>
        <w:pStyle w:val="Heading1"/>
        <w:jc w:val="both"/>
        <w:rPr>
          <w:rFonts w:ascii="IBM Plex Sans" w:hAnsi="IBM Plex Sans"/>
          <w:noProof/>
          <w:color w:val="0070C0"/>
          <w:sz w:val="32"/>
          <w:szCs w:val="32"/>
        </w:rPr>
      </w:pPr>
      <w:r w:rsidRPr="00EE53EF">
        <w:rPr>
          <w:rFonts w:ascii="IBM Plex Sans" w:hAnsi="IBM Plex Sans"/>
          <w:noProof/>
          <w:color w:val="0070C0"/>
          <w:sz w:val="32"/>
          <w:szCs w:val="32"/>
        </w:rPr>
        <w:lastRenderedPageBreak/>
        <w:t>FERC O</w:t>
      </w:r>
      <w:r w:rsidR="00EC4BDD" w:rsidRPr="00EE53EF">
        <w:rPr>
          <w:rFonts w:ascii="IBM Plex Sans" w:hAnsi="IBM Plex Sans"/>
          <w:noProof/>
          <w:color w:val="0070C0"/>
          <w:sz w:val="32"/>
          <w:szCs w:val="32"/>
        </w:rPr>
        <w:t>r</w:t>
      </w:r>
      <w:r w:rsidRPr="00EE53EF">
        <w:rPr>
          <w:rFonts w:ascii="IBM Plex Sans" w:hAnsi="IBM Plex Sans"/>
          <w:noProof/>
          <w:color w:val="0070C0"/>
          <w:sz w:val="32"/>
          <w:szCs w:val="32"/>
        </w:rPr>
        <w:t>der 2222</w:t>
      </w:r>
      <w:r w:rsidR="00C82861" w:rsidRPr="00EE53EF">
        <w:rPr>
          <w:rFonts w:ascii="IBM Plex Sans" w:hAnsi="IBM Plex Sans"/>
          <w:noProof/>
          <w:color w:val="0070C0"/>
          <w:sz w:val="32"/>
          <w:szCs w:val="32"/>
        </w:rPr>
        <w:t xml:space="preserve"> Timeline</w:t>
      </w:r>
      <w:r w:rsidR="004F0BE3" w:rsidRPr="00EE53EF">
        <w:rPr>
          <w:rFonts w:ascii="IBM Plex Sans" w:hAnsi="IBM Plex Sans"/>
          <w:noProof/>
          <w:color w:val="0070C0"/>
          <w:sz w:val="32"/>
          <w:szCs w:val="32"/>
        </w:rPr>
        <w:t xml:space="preserve"> and Key Requirements</w:t>
      </w:r>
    </w:p>
    <w:p w14:paraId="469790C6" w14:textId="5B671B03" w:rsidR="00C82861" w:rsidRPr="00EE3A6E" w:rsidRDefault="00C82861" w:rsidP="00E67994">
      <w:pPr>
        <w:spacing w:after="300"/>
        <w:jc w:val="both"/>
        <w:rPr>
          <w:rFonts w:ascii="IBM Plex Sans" w:hAnsi="IBM Plex Sans" w:cs="Segoe UI"/>
          <w:sz w:val="24"/>
          <w:szCs w:val="24"/>
        </w:rPr>
      </w:pPr>
      <w:r w:rsidRPr="00EE3A6E">
        <w:rPr>
          <w:rFonts w:ascii="IBM Plex Sans" w:hAnsi="IBM Plex Sans" w:cs="Segoe UI"/>
          <w:sz w:val="24"/>
          <w:szCs w:val="24"/>
        </w:rPr>
        <w:t xml:space="preserve">FERC Order 2222, issued on September 17, 2020, is a landmark regulatory decision aimed at enabling the participation of distributed energy resources (DERs) in the wholesale electricity markets operated by Independent System Operators (ISOs) and Regional Transmission Organizations (RTOs) in the United States. </w:t>
      </w:r>
    </w:p>
    <w:p w14:paraId="2125B60A" w14:textId="6B77C8A2" w:rsidR="003640D2" w:rsidRPr="00EE3A6E" w:rsidRDefault="003640D2" w:rsidP="00E67994">
      <w:pPr>
        <w:spacing w:after="300"/>
        <w:jc w:val="both"/>
        <w:rPr>
          <w:rFonts w:ascii="IBM Plex Sans" w:hAnsi="IBM Plex Sans" w:cs="Segoe UI"/>
          <w:sz w:val="24"/>
          <w:szCs w:val="24"/>
        </w:rPr>
      </w:pPr>
      <w:r w:rsidRPr="00EE3A6E">
        <w:rPr>
          <w:rFonts w:ascii="IBM Plex Sans" w:hAnsi="IBM Plex Sans" w:cs="Segoe UI"/>
          <w:sz w:val="24"/>
          <w:szCs w:val="24"/>
        </w:rPr>
        <w:t xml:space="preserve">FERC Order 2222 imposes key requirements </w:t>
      </w:r>
      <w:r w:rsidR="00831592" w:rsidRPr="00EE3A6E">
        <w:rPr>
          <w:rFonts w:ascii="IBM Plex Sans" w:hAnsi="IBM Plex Sans" w:cs="Segoe UI"/>
          <w:sz w:val="24"/>
          <w:szCs w:val="24"/>
        </w:rPr>
        <w:t xml:space="preserve">on </w:t>
      </w:r>
      <w:r w:rsidR="00C869F5" w:rsidRPr="00EE3A6E">
        <w:rPr>
          <w:rFonts w:ascii="IBM Plex Sans" w:hAnsi="IBM Plex Sans" w:cs="Segoe UI"/>
          <w:sz w:val="24"/>
          <w:szCs w:val="24"/>
        </w:rPr>
        <w:t xml:space="preserve">Regional Transmission Organizations (RTOs) and Independent System Operators (ISOs) </w:t>
      </w:r>
      <w:r w:rsidRPr="00EE3A6E">
        <w:rPr>
          <w:rFonts w:ascii="IBM Plex Sans" w:hAnsi="IBM Plex Sans" w:cs="Segoe UI"/>
          <w:sz w:val="24"/>
          <w:szCs w:val="24"/>
        </w:rPr>
        <w:t xml:space="preserve">in the United States. These requirements </w:t>
      </w:r>
      <w:r w:rsidR="00831592" w:rsidRPr="00EE3A6E">
        <w:rPr>
          <w:rFonts w:ascii="IBM Plex Sans" w:hAnsi="IBM Plex Sans" w:cs="Segoe UI"/>
          <w:sz w:val="24"/>
          <w:szCs w:val="24"/>
        </w:rPr>
        <w:t>aim</w:t>
      </w:r>
      <w:r w:rsidRPr="00EE3A6E">
        <w:rPr>
          <w:rFonts w:ascii="IBM Plex Sans" w:hAnsi="IBM Plex Sans" w:cs="Segoe UI"/>
          <w:sz w:val="24"/>
          <w:szCs w:val="24"/>
        </w:rPr>
        <w:t xml:space="preserve"> at facilitating the participation of distributed energy resources (DERs) in the wholesale electricity markets.</w:t>
      </w:r>
    </w:p>
    <w:p w14:paraId="78EBEFBF" w14:textId="5CAEE024" w:rsidR="00816472" w:rsidRPr="00EE3A6E" w:rsidRDefault="00CE73C6" w:rsidP="00E67994">
      <w:pPr>
        <w:pStyle w:val="ListParagraph"/>
        <w:numPr>
          <w:ilvl w:val="0"/>
          <w:numId w:val="2"/>
        </w:numPr>
        <w:spacing w:after="300"/>
        <w:jc w:val="both"/>
        <w:rPr>
          <w:rFonts w:ascii="IBM Plex Sans" w:hAnsi="IBM Plex Sans" w:cs="Segoe UI"/>
          <w:sz w:val="24"/>
          <w:szCs w:val="24"/>
        </w:rPr>
      </w:pPr>
      <w:r w:rsidRPr="00EE3A6E">
        <w:rPr>
          <w:rFonts w:ascii="IBM Plex Sans" w:hAnsi="IBM Plex Sans" w:cs="Segoe UI"/>
          <w:sz w:val="24"/>
          <w:szCs w:val="24"/>
        </w:rPr>
        <w:t>ISOs and RTOs are required to allow the aggregation of DERs for participation in the wholesale markets. This means that multiple small-scale DERs, such as rooftop solar installations, energy storage systems, and demand response resources can be grouped together and bid as a single resource in the market.</w:t>
      </w:r>
    </w:p>
    <w:p w14:paraId="0CA790D2" w14:textId="0409499A" w:rsidR="00CB4550" w:rsidRPr="00EE3A6E" w:rsidRDefault="00CB4550"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 xml:space="preserve">ISOs and RTOs are prohibited from imposing minimum size limitations on aggregated DERs that exceed 100 kW. This provision ensures that even smaller-scale DERs </w:t>
      </w:r>
      <w:r w:rsidR="00831592" w:rsidRPr="00EE3A6E">
        <w:rPr>
          <w:rFonts w:ascii="IBM Plex Sans" w:hAnsi="IBM Plex Sans" w:cs="Segoe UI"/>
          <w:sz w:val="24"/>
          <w:szCs w:val="24"/>
        </w:rPr>
        <w:t>can</w:t>
      </w:r>
      <w:r w:rsidRPr="00EE3A6E">
        <w:rPr>
          <w:rFonts w:ascii="IBM Plex Sans" w:hAnsi="IBM Plex Sans" w:cs="Segoe UI"/>
          <w:sz w:val="24"/>
          <w:szCs w:val="24"/>
        </w:rPr>
        <w:t xml:space="preserve"> participate in the markets.</w:t>
      </w:r>
    </w:p>
    <w:p w14:paraId="0BCECEF8" w14:textId="77777777" w:rsidR="00CB4550" w:rsidRPr="00EE3A6E" w:rsidRDefault="00CB4550"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ISOs and RTOs are directed to revise their market participation rules, tariffs, and protocols to accommodate aggregated DERs. These changes should include modifications to enable DERs to participate in capacity, energy, and ancillary service markets.</w:t>
      </w:r>
    </w:p>
    <w:p w14:paraId="1181FC4E" w14:textId="77777777" w:rsidR="00CB4550" w:rsidRPr="00EE3A6E" w:rsidRDefault="00CB4550"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ISOs and RTOs are required to identify and address any barriers that could hinder the effective participation of aggregated DERs in the markets. This involves reviewing and modifying existing rules and procedures that might create obstacles for DER aggregation.</w:t>
      </w:r>
    </w:p>
    <w:p w14:paraId="5A188597" w14:textId="77777777" w:rsidR="0070750C" w:rsidRPr="00EE3A6E" w:rsidRDefault="0070750C"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ISOs and RTOs must establish communication protocols and data requirements that facilitate the seamless integration and operation of aggregated DERs within their markets. This includes ensuring that aggregated resources can receive dispatch signals and provide performance data.</w:t>
      </w:r>
    </w:p>
    <w:p w14:paraId="383EC0FD" w14:textId="77777777" w:rsidR="0070750C" w:rsidRPr="00EE3A6E" w:rsidRDefault="0070750C"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ISOs and RTOs are encouraged to engage with stakeholders, including DER aggregators, utilities, and other market participants, to gather input and feedback during the development of the necessary rule changes and protocols.</w:t>
      </w:r>
    </w:p>
    <w:p w14:paraId="438E6CCD" w14:textId="77777777" w:rsidR="0070750C" w:rsidRPr="00EE3A6E" w:rsidRDefault="0070750C"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t>ISOs and RTOs are required to submit compliance filings to FERC outlining their specific plans and timelines for implementing the requirements of FERC Order 2222.</w:t>
      </w:r>
    </w:p>
    <w:p w14:paraId="73888228" w14:textId="31675C83" w:rsidR="00CE73C6" w:rsidRPr="00EE3A6E" w:rsidRDefault="00EF1335" w:rsidP="00E67994">
      <w:pPr>
        <w:pStyle w:val="ListParagraph"/>
        <w:numPr>
          <w:ilvl w:val="0"/>
          <w:numId w:val="2"/>
        </w:numPr>
        <w:jc w:val="both"/>
        <w:rPr>
          <w:rFonts w:ascii="IBM Plex Sans" w:hAnsi="IBM Plex Sans" w:cs="Segoe UI"/>
          <w:sz w:val="24"/>
          <w:szCs w:val="24"/>
        </w:rPr>
      </w:pPr>
      <w:r w:rsidRPr="00EE3A6E">
        <w:rPr>
          <w:rFonts w:ascii="IBM Plex Sans" w:hAnsi="IBM Plex Sans" w:cs="Segoe UI"/>
          <w:sz w:val="24"/>
          <w:szCs w:val="24"/>
        </w:rPr>
        <w:lastRenderedPageBreak/>
        <w:t>ISOs and RTOs have the flexibility to implement the required changes in a phased manner, considering factors such as technical complexity and the need for stakeholder coordination.</w:t>
      </w:r>
    </w:p>
    <w:p w14:paraId="11005316" w14:textId="002930B9" w:rsidR="00542821" w:rsidRPr="00EE3A6E" w:rsidRDefault="00EC4BDD" w:rsidP="00E67994">
      <w:pPr>
        <w:spacing w:after="300"/>
        <w:jc w:val="both"/>
        <w:rPr>
          <w:rFonts w:ascii="IBM Plex Sans" w:hAnsi="IBM Plex Sans" w:cs="Segoe UI"/>
          <w:sz w:val="24"/>
          <w:szCs w:val="24"/>
        </w:rPr>
      </w:pPr>
      <w:r w:rsidRPr="00EE3A6E">
        <w:rPr>
          <w:rFonts w:ascii="IBM Plex Sans" w:hAnsi="IBM Plex Sans" w:cs="Segoe UI"/>
          <w:sz w:val="24"/>
          <w:szCs w:val="24"/>
        </w:rPr>
        <w:t>T</w:t>
      </w:r>
      <w:r w:rsidR="00542821" w:rsidRPr="00EE3A6E">
        <w:rPr>
          <w:rFonts w:ascii="IBM Plex Sans" w:hAnsi="IBM Plex Sans" w:cs="Segoe UI"/>
          <w:sz w:val="24"/>
          <w:szCs w:val="24"/>
        </w:rPr>
        <w:t>he specific implementation details and deadlines for each ISO/RTO may vary based on their unique circumstances and regional characteristics. FERC Order 2222 sets the overarching requirements to accommodate aggregated DERs in wholesale markets, but the exact approaches and timelines can differ among different organizations.</w:t>
      </w:r>
    </w:p>
    <w:p w14:paraId="47AB0718" w14:textId="77777777" w:rsidR="00C869F5" w:rsidRPr="00EE3A6E" w:rsidRDefault="00C869F5" w:rsidP="00E67994">
      <w:pPr>
        <w:spacing w:after="300"/>
        <w:jc w:val="both"/>
        <w:rPr>
          <w:rFonts w:ascii="IBM Plex Sans" w:hAnsi="IBM Plex Sans" w:cs="Segoe UI"/>
          <w:sz w:val="24"/>
          <w:szCs w:val="24"/>
        </w:rPr>
      </w:pPr>
      <w:r w:rsidRPr="00EE3A6E">
        <w:rPr>
          <w:rFonts w:ascii="IBM Plex Sans" w:hAnsi="IBM Plex Sans" w:cs="Segoe UI"/>
          <w:sz w:val="24"/>
          <w:szCs w:val="24"/>
        </w:rPr>
        <w:t>FERC Order 2222 directed Regional Transmission Organizations (RTOs) and Independent System Operators (ISOs) to submit compliance filings outlining their plans for implementing the provisions of the order within 270 days from the issuance date. This timeline varied slightly depending on the specific region and organization. The compliance filings needed to outline how the ISO/RTO intended to revise their market rules, tariffs, and protocols to accommodate aggregated DERs.</w:t>
      </w:r>
    </w:p>
    <w:p w14:paraId="073C04C1" w14:textId="77777777" w:rsidR="00C869F5" w:rsidRPr="00EE3A6E" w:rsidRDefault="00C869F5" w:rsidP="00E67994">
      <w:pPr>
        <w:spacing w:after="300"/>
        <w:jc w:val="both"/>
        <w:rPr>
          <w:rFonts w:ascii="IBM Plex Sans" w:hAnsi="IBM Plex Sans" w:cs="Segoe UI"/>
          <w:sz w:val="24"/>
          <w:szCs w:val="24"/>
        </w:rPr>
      </w:pPr>
      <w:r w:rsidRPr="00EE3A6E">
        <w:rPr>
          <w:rFonts w:ascii="IBM Plex Sans" w:hAnsi="IBM Plex Sans" w:cs="Segoe UI"/>
          <w:sz w:val="24"/>
          <w:szCs w:val="24"/>
        </w:rPr>
        <w:t>Some of the ISO/RTOs have made strong progress in leading the energy transition journey leveraging FERC Order 2222.</w:t>
      </w:r>
    </w:p>
    <w:p w14:paraId="248F1C35" w14:textId="77777777" w:rsidR="00C869F5" w:rsidRPr="00EE3A6E" w:rsidRDefault="00C869F5" w:rsidP="00E67994">
      <w:pPr>
        <w:pStyle w:val="ListParagraph"/>
        <w:numPr>
          <w:ilvl w:val="0"/>
          <w:numId w:val="5"/>
        </w:numPr>
        <w:spacing w:after="300"/>
        <w:jc w:val="both"/>
        <w:rPr>
          <w:rFonts w:ascii="IBM Plex Sans" w:hAnsi="IBM Plex Sans" w:cs="Segoe UI"/>
          <w:sz w:val="24"/>
          <w:szCs w:val="24"/>
        </w:rPr>
      </w:pPr>
      <w:r w:rsidRPr="00EE3A6E">
        <w:rPr>
          <w:rFonts w:ascii="IBM Plex Sans" w:hAnsi="IBM Plex Sans" w:cs="Segoe UI"/>
          <w:b/>
          <w:bCs/>
          <w:sz w:val="24"/>
          <w:szCs w:val="24"/>
        </w:rPr>
        <w:t>PJM Interconnection:</w:t>
      </w:r>
      <w:r w:rsidRPr="00EE3A6E">
        <w:rPr>
          <w:rFonts w:ascii="IBM Plex Sans" w:hAnsi="IBM Plex Sans" w:cs="Segoe UI"/>
          <w:sz w:val="24"/>
          <w:szCs w:val="24"/>
        </w:rPr>
        <w:t xml:space="preserve"> PJM, a large regional transmission organization serving parts of the Eastern United States, filed its compliance plan with FERC on June 17, 2021. PJM proposed to allow aggregated DERs to participate in its capacity markets, with specific eligibility requirements and operational details.</w:t>
      </w:r>
    </w:p>
    <w:p w14:paraId="2139EAA8" w14:textId="77777777" w:rsidR="00C869F5" w:rsidRPr="00EE3A6E" w:rsidRDefault="00C869F5" w:rsidP="00E67994">
      <w:pPr>
        <w:pStyle w:val="ListParagraph"/>
        <w:numPr>
          <w:ilvl w:val="0"/>
          <w:numId w:val="5"/>
        </w:numPr>
        <w:spacing w:after="300"/>
        <w:jc w:val="both"/>
        <w:rPr>
          <w:rFonts w:ascii="IBM Plex Sans" w:hAnsi="IBM Plex Sans" w:cs="Segoe UI"/>
          <w:sz w:val="24"/>
          <w:szCs w:val="24"/>
        </w:rPr>
      </w:pPr>
      <w:r w:rsidRPr="00EE3A6E">
        <w:rPr>
          <w:rFonts w:ascii="IBM Plex Sans" w:hAnsi="IBM Plex Sans" w:cs="Segoe UI"/>
          <w:b/>
          <w:bCs/>
          <w:sz w:val="24"/>
          <w:szCs w:val="24"/>
        </w:rPr>
        <w:t>New York ISO (NYISO):</w:t>
      </w:r>
      <w:r w:rsidRPr="00EE3A6E">
        <w:rPr>
          <w:rFonts w:ascii="IBM Plex Sans" w:hAnsi="IBM Plex Sans" w:cs="Segoe UI"/>
          <w:sz w:val="24"/>
          <w:szCs w:val="24"/>
        </w:rPr>
        <w:t xml:space="preserve"> NYISO submitted its compliance filing in March 2021. NYISO's plan includes accommodating aggregated DERs in its energy and ancillary services markets.</w:t>
      </w:r>
    </w:p>
    <w:p w14:paraId="45EBFADC" w14:textId="77777777" w:rsidR="00C869F5" w:rsidRPr="00EE3A6E" w:rsidRDefault="00C869F5" w:rsidP="00E67994">
      <w:pPr>
        <w:pStyle w:val="ListParagraph"/>
        <w:numPr>
          <w:ilvl w:val="0"/>
          <w:numId w:val="5"/>
        </w:numPr>
        <w:spacing w:after="300"/>
        <w:jc w:val="both"/>
        <w:rPr>
          <w:rFonts w:ascii="IBM Plex Sans" w:hAnsi="IBM Plex Sans" w:cs="Segoe UI"/>
          <w:sz w:val="24"/>
          <w:szCs w:val="24"/>
        </w:rPr>
      </w:pPr>
      <w:r w:rsidRPr="00EE3A6E">
        <w:rPr>
          <w:rFonts w:ascii="IBM Plex Sans" w:hAnsi="IBM Plex Sans" w:cs="Segoe UI"/>
          <w:b/>
          <w:bCs/>
          <w:sz w:val="24"/>
          <w:szCs w:val="24"/>
        </w:rPr>
        <w:t>California ISO (CAISO):</w:t>
      </w:r>
      <w:r w:rsidRPr="00EE3A6E">
        <w:rPr>
          <w:rFonts w:ascii="IBM Plex Sans" w:hAnsi="IBM Plex Sans" w:cs="Segoe UI"/>
          <w:sz w:val="24"/>
          <w:szCs w:val="24"/>
        </w:rPr>
        <w:t xml:space="preserve"> CAISO submitted its compliance filing in March 2021. CAISO's proposal involves allowing aggregated DERs to participate in its wholesale markets, contributing to grid reliability and flexibility.</w:t>
      </w:r>
    </w:p>
    <w:p w14:paraId="6782EDF3" w14:textId="4EE00A00" w:rsidR="00565D7B" w:rsidRPr="00EE3A6E" w:rsidRDefault="00C869F5" w:rsidP="00E67994">
      <w:pPr>
        <w:pStyle w:val="ListParagraph"/>
        <w:numPr>
          <w:ilvl w:val="0"/>
          <w:numId w:val="5"/>
        </w:numPr>
        <w:spacing w:after="300"/>
        <w:jc w:val="both"/>
        <w:rPr>
          <w:rFonts w:ascii="IBM Plex Sans" w:hAnsi="IBM Plex Sans" w:cs="Segoe UI"/>
          <w:sz w:val="24"/>
          <w:szCs w:val="24"/>
        </w:rPr>
      </w:pPr>
      <w:r w:rsidRPr="00EE3A6E">
        <w:rPr>
          <w:rFonts w:ascii="IBM Plex Sans" w:hAnsi="IBM Plex Sans" w:cs="Segoe UI"/>
          <w:b/>
          <w:bCs/>
          <w:sz w:val="24"/>
          <w:szCs w:val="24"/>
        </w:rPr>
        <w:t>Midcontinent ISO (MISO):</w:t>
      </w:r>
      <w:r w:rsidRPr="00EE3A6E">
        <w:rPr>
          <w:rFonts w:ascii="IBM Plex Sans" w:hAnsi="IBM Plex Sans" w:cs="Segoe UI"/>
          <w:sz w:val="24"/>
          <w:szCs w:val="24"/>
        </w:rPr>
        <w:t xml:space="preserve"> MISO filed its compliance plan in February 2021, outlining how it intends to enable aggregated DERs to participate in its markets while ensuring grid stability.</w:t>
      </w:r>
    </w:p>
    <w:p w14:paraId="7D1E0643" w14:textId="77777777" w:rsidR="004332BC" w:rsidRDefault="004332BC">
      <w:pPr>
        <w:rPr>
          <w:rFonts w:ascii="IBM Plex Sans" w:eastAsiaTheme="majorEastAsia" w:hAnsi="IBM Plex Sans" w:cstheme="majorBidi"/>
          <w:noProof/>
          <w:sz w:val="32"/>
          <w:szCs w:val="32"/>
        </w:rPr>
      </w:pPr>
      <w:r>
        <w:rPr>
          <w:rFonts w:ascii="IBM Plex Sans" w:hAnsi="IBM Plex Sans"/>
          <w:noProof/>
          <w:sz w:val="32"/>
          <w:szCs w:val="32"/>
        </w:rPr>
        <w:br w:type="page"/>
      </w:r>
    </w:p>
    <w:p w14:paraId="41B50088" w14:textId="040634A3" w:rsidR="00EC1BC9" w:rsidRPr="004332BC" w:rsidRDefault="00EC1BC9" w:rsidP="00E67994">
      <w:pPr>
        <w:pStyle w:val="Heading1"/>
        <w:jc w:val="both"/>
        <w:rPr>
          <w:rFonts w:ascii="IBM Plex Sans" w:hAnsi="IBM Plex Sans"/>
          <w:noProof/>
          <w:color w:val="0070C0"/>
          <w:sz w:val="32"/>
          <w:szCs w:val="32"/>
        </w:rPr>
      </w:pPr>
      <w:r w:rsidRPr="004332BC">
        <w:rPr>
          <w:rFonts w:ascii="IBM Plex Sans" w:hAnsi="IBM Plex Sans"/>
          <w:noProof/>
          <w:color w:val="0070C0"/>
          <w:sz w:val="32"/>
          <w:szCs w:val="32"/>
        </w:rPr>
        <w:lastRenderedPageBreak/>
        <w:t>Impact on various entities &amp; industry players</w:t>
      </w:r>
    </w:p>
    <w:p w14:paraId="71974AAF" w14:textId="329E3D11" w:rsidR="00565D7B" w:rsidRPr="00EE3A6E" w:rsidRDefault="00565D7B" w:rsidP="00E67994">
      <w:pPr>
        <w:jc w:val="both"/>
        <w:rPr>
          <w:rFonts w:ascii="IBM Plex Sans" w:eastAsiaTheme="majorEastAsia" w:hAnsi="IBM Plex Sans" w:cstheme="majorBidi"/>
          <w:b/>
          <w:bCs/>
          <w:noProof/>
          <w:sz w:val="28"/>
          <w:szCs w:val="28"/>
        </w:rPr>
      </w:pPr>
      <w:r w:rsidRPr="00EE3A6E">
        <w:rPr>
          <w:rFonts w:ascii="IBM Plex Sans" w:eastAsiaTheme="majorEastAsia" w:hAnsi="IBM Plex Sans" w:cstheme="majorBidi"/>
          <w:b/>
          <w:bCs/>
          <w:noProof/>
          <w:sz w:val="28"/>
          <w:szCs w:val="28"/>
        </w:rPr>
        <w:t>Energy Markets</w:t>
      </w:r>
    </w:p>
    <w:p w14:paraId="70E444E7" w14:textId="54640614" w:rsidR="0087665D" w:rsidRPr="00EE3A6E" w:rsidRDefault="0087665D" w:rsidP="00E67994">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FERC Order 2222 has significant impacts on energy markets, particularly in relation to the integration of Distributed Energy Resources (DERs) into wholesale markets. The order aims to promote a more inclusive and dynamic energy market by allowing DERs to participate alongside traditional power generators. </w:t>
      </w:r>
    </w:p>
    <w:p w14:paraId="00344144" w14:textId="6EF71039"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Increased Market Participation:</w:t>
      </w:r>
      <w:r w:rsidRPr="00EE3A6E">
        <w:rPr>
          <w:rFonts w:ascii="IBM Plex Sans" w:eastAsiaTheme="majorEastAsia" w:hAnsi="IBM Plex Sans" w:cstheme="majorBidi"/>
          <w:noProof/>
          <w:sz w:val="24"/>
          <w:szCs w:val="24"/>
        </w:rPr>
        <w:t xml:space="preserve"> FERC 2222 opens up the wholesale energy markets to a wider array of participants, including individual consumers, businesses, and organizations that own and operate DERs. This increased participation diversifies the energy supply and adds flexibility to the grid.</w:t>
      </w:r>
    </w:p>
    <w:p w14:paraId="6FB87E2E" w14:textId="19EE9E1E"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Integration of DERs:</w:t>
      </w:r>
      <w:r w:rsidRPr="00EE3A6E">
        <w:rPr>
          <w:rFonts w:ascii="IBM Plex Sans" w:eastAsiaTheme="majorEastAsia" w:hAnsi="IBM Plex Sans" w:cstheme="majorBidi"/>
          <w:noProof/>
          <w:sz w:val="24"/>
          <w:szCs w:val="24"/>
        </w:rPr>
        <w:t xml:space="preserve"> The order encourages the integration of various DERs, such as solar PV systems, wind turbines, energy storage units, demand response, and electric vehicles, into the wholesale energy markets. This integration helps to harness the full potential of clean and distributed energy resources, contributing to a more sustainable energy system.</w:t>
      </w:r>
    </w:p>
    <w:p w14:paraId="13CD988F" w14:textId="68C8F565"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Enhanced Grid Resilience:</w:t>
      </w:r>
      <w:r w:rsidRPr="00EE3A6E">
        <w:rPr>
          <w:rFonts w:ascii="IBM Plex Sans" w:eastAsiaTheme="majorEastAsia" w:hAnsi="IBM Plex Sans" w:cstheme="majorBidi"/>
          <w:noProof/>
          <w:sz w:val="24"/>
          <w:szCs w:val="24"/>
        </w:rPr>
        <w:t xml:space="preserve"> The participation of DERs can enhance the resilience of the grid. Energy storage systems and demand response programs can help balance supply and demand during peak periods or grid disruptions, leading to a more stable and reliable energy supply.</w:t>
      </w:r>
    </w:p>
    <w:p w14:paraId="516272C0" w14:textId="0DBE29A5"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Increased Grid Flexibility:</w:t>
      </w:r>
      <w:r w:rsidRPr="00EE3A6E">
        <w:rPr>
          <w:rFonts w:ascii="IBM Plex Sans" w:eastAsiaTheme="majorEastAsia" w:hAnsi="IBM Plex Sans" w:cstheme="majorBidi"/>
          <w:noProof/>
          <w:sz w:val="24"/>
          <w:szCs w:val="24"/>
        </w:rPr>
        <w:t xml:space="preserve"> DERs' ability to respond rapidly to fluctuations in energy demand and supply brings increased flexibility to the grid. This enables grid operators to better manage energy flows and maintain grid stability, especially with the rise of intermittent renewable energy sources.</w:t>
      </w:r>
    </w:p>
    <w:p w14:paraId="48D9108F" w14:textId="4C00A9D6"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Support for Decentralized Energy:</w:t>
      </w:r>
      <w:r w:rsidRPr="00EE3A6E">
        <w:rPr>
          <w:rFonts w:ascii="IBM Plex Sans" w:eastAsiaTheme="majorEastAsia" w:hAnsi="IBM Plex Sans" w:cstheme="majorBidi"/>
          <w:noProof/>
          <w:sz w:val="24"/>
          <w:szCs w:val="24"/>
        </w:rPr>
        <w:t xml:space="preserve"> FERC 2222 supports the growth of decentralized energy generation. By encouraging DER participation in wholesale markets, the order promotes a shift away from a centralized energy system dominated by large power plants to a more distributed and localized energy generation model.</w:t>
      </w:r>
    </w:p>
    <w:p w14:paraId="4A5D0B80" w14:textId="66D987B4"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Incentives for Renewable Energy:</w:t>
      </w:r>
      <w:r w:rsidRPr="00EE3A6E">
        <w:rPr>
          <w:rFonts w:ascii="IBM Plex Sans" w:eastAsiaTheme="majorEastAsia" w:hAnsi="IBM Plex Sans" w:cstheme="majorBidi"/>
          <w:noProof/>
          <w:sz w:val="24"/>
          <w:szCs w:val="24"/>
        </w:rPr>
        <w:t xml:space="preserve"> The order provides incentives for the deployment of renewable energy resources, such as solar and wind power. By allowing these resources to participate in wholesale markets, FERC 2222 can drive investment in cleaner and greener energy technologies.</w:t>
      </w:r>
    </w:p>
    <w:p w14:paraId="6E8F0743" w14:textId="75F05C9C"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Market Innovation:</w:t>
      </w:r>
      <w:r w:rsidRPr="00EE3A6E">
        <w:rPr>
          <w:rFonts w:ascii="IBM Plex Sans" w:eastAsiaTheme="majorEastAsia" w:hAnsi="IBM Plex Sans" w:cstheme="majorBidi"/>
          <w:noProof/>
          <w:sz w:val="24"/>
          <w:szCs w:val="24"/>
        </w:rPr>
        <w:t xml:space="preserve"> The entry of new participants and technologies into energy markets fosters innovation. As DER owners and aggregators become active participants, there is increased competition and motivation to develop new technologies, products, and services that optimize energy use and market participation.</w:t>
      </w:r>
    </w:p>
    <w:p w14:paraId="00168669" w14:textId="0D2477C0"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lastRenderedPageBreak/>
        <w:t>Challenges and Market Adaptation:</w:t>
      </w:r>
      <w:r w:rsidRPr="00EE3A6E">
        <w:rPr>
          <w:rFonts w:ascii="IBM Plex Sans" w:eastAsiaTheme="majorEastAsia" w:hAnsi="IBM Plex Sans" w:cstheme="majorBidi"/>
          <w:noProof/>
          <w:sz w:val="24"/>
          <w:szCs w:val="24"/>
        </w:rPr>
        <w:t xml:space="preserve"> Implementing FERC 2222 presents challenges for energy markets and stakeholders. Market operators and regulators may need to adapt market rules and mechanisms to accommodate the unique characteristics of DERs, such as their variable output and decentralized nature.</w:t>
      </w:r>
    </w:p>
    <w:p w14:paraId="7B2F215D" w14:textId="2A816540" w:rsidR="0087665D" w:rsidRPr="00EE3A6E" w:rsidRDefault="0087665D" w:rsidP="00E67994">
      <w:pPr>
        <w:pStyle w:val="ListParagraph"/>
        <w:numPr>
          <w:ilvl w:val="0"/>
          <w:numId w:val="6"/>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Grid Planning and Operations:</w:t>
      </w:r>
      <w:r w:rsidRPr="00EE3A6E">
        <w:rPr>
          <w:rFonts w:ascii="IBM Plex Sans" w:eastAsiaTheme="majorEastAsia" w:hAnsi="IBM Plex Sans" w:cstheme="majorBidi"/>
          <w:noProof/>
          <w:sz w:val="24"/>
          <w:szCs w:val="24"/>
        </w:rPr>
        <w:t xml:space="preserve"> Grid planning and operations must evolve to effectively integrate DERs. Utilities and grid operators may need to develop new strategies and tools to manage a more complex and dynamic energy system effectively.</w:t>
      </w:r>
    </w:p>
    <w:p w14:paraId="1F66A019" w14:textId="73595C01" w:rsidR="000607BB" w:rsidRPr="00EE3A6E" w:rsidRDefault="0087665D" w:rsidP="00E67994">
      <w:pPr>
        <w:jc w:val="both"/>
        <w:rPr>
          <w:rFonts w:ascii="IBM Plex Sans" w:eastAsiaTheme="majorEastAsia" w:hAnsi="IBM Plex Sans" w:cstheme="majorBidi"/>
          <w:noProof/>
          <w:sz w:val="32"/>
          <w:szCs w:val="32"/>
        </w:rPr>
      </w:pPr>
      <w:r w:rsidRPr="00EE3A6E">
        <w:rPr>
          <w:rFonts w:ascii="IBM Plex Sans" w:eastAsiaTheme="majorEastAsia" w:hAnsi="IBM Plex Sans" w:cstheme="majorBidi"/>
          <w:noProof/>
          <w:sz w:val="24"/>
          <w:szCs w:val="24"/>
        </w:rPr>
        <w:t>FERC 2222's impact on energy markets is transformative, promoting a more inclusive, sustainable, and flexible energy ecosystem that embraces the potential of distributed energy resources. While it presents challenges, the order provides opportunities for innovation and progress in the energy sector.</w:t>
      </w:r>
    </w:p>
    <w:p w14:paraId="33664476" w14:textId="2E44C5D7" w:rsidR="001A13A5" w:rsidRPr="00EE3A6E" w:rsidRDefault="001A13A5" w:rsidP="00E67994">
      <w:pPr>
        <w:jc w:val="both"/>
        <w:rPr>
          <w:rFonts w:ascii="IBM Plex Sans" w:eastAsiaTheme="majorEastAsia" w:hAnsi="IBM Plex Sans" w:cstheme="majorBidi"/>
          <w:b/>
          <w:bCs/>
          <w:noProof/>
          <w:sz w:val="28"/>
          <w:szCs w:val="28"/>
        </w:rPr>
      </w:pPr>
      <w:r w:rsidRPr="00EE3A6E">
        <w:rPr>
          <w:rFonts w:ascii="IBM Plex Sans" w:eastAsiaTheme="majorEastAsia" w:hAnsi="IBM Plex Sans" w:cstheme="majorBidi"/>
          <w:b/>
          <w:bCs/>
          <w:noProof/>
          <w:sz w:val="28"/>
          <w:szCs w:val="28"/>
        </w:rPr>
        <w:t>Consumer</w:t>
      </w:r>
      <w:r w:rsidR="00071670" w:rsidRPr="00EE3A6E">
        <w:rPr>
          <w:rFonts w:ascii="IBM Plex Sans" w:eastAsiaTheme="majorEastAsia" w:hAnsi="IBM Plex Sans" w:cstheme="majorBidi"/>
          <w:b/>
          <w:bCs/>
          <w:noProof/>
          <w:sz w:val="28"/>
          <w:szCs w:val="28"/>
        </w:rPr>
        <w:t>s</w:t>
      </w:r>
    </w:p>
    <w:p w14:paraId="47028D1C" w14:textId="661F4145" w:rsidR="005B6DAA" w:rsidRPr="00EE3A6E" w:rsidRDefault="005B6DAA" w:rsidP="00E67994">
      <w:p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noProof/>
          <w:sz w:val="24"/>
          <w:szCs w:val="24"/>
        </w:rPr>
        <w:t xml:space="preserve">FERC Order 2222, which aims to facilitate the participation of Distributed Energy Resources (DERs) in wholesale markets, can have several impacts on consumers. These impacts can be both direct and indirect, affecting various aspects of consumers' energy experiences and choices. </w:t>
      </w:r>
    </w:p>
    <w:p w14:paraId="47EC545F" w14:textId="57FBF3FB"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Greater Energy Choice:</w:t>
      </w:r>
      <w:r w:rsidRPr="00EE3A6E">
        <w:rPr>
          <w:rFonts w:ascii="IBM Plex Sans" w:eastAsiaTheme="majorEastAsia" w:hAnsi="IBM Plex Sans" w:cstheme="minorHAnsi"/>
          <w:noProof/>
          <w:sz w:val="24"/>
          <w:szCs w:val="24"/>
        </w:rPr>
        <w:t xml:space="preserve"> FERC 2222 encourages the integration of diverse DERs, such as rooftop solar panels, home battery storage systems, and demand response programs, into the grid. This allows consumers to have more options in generating, storing, and managing their electricity. As a result, consumers can choose cleaner and more sustainable energy sources, potentially reducing their dependence on traditional fossil-fuel-based electricity.</w:t>
      </w:r>
    </w:p>
    <w:p w14:paraId="506D9B40" w14:textId="5E6B1C2B"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Lower Energy Costs:</w:t>
      </w:r>
      <w:r w:rsidRPr="00EE3A6E">
        <w:rPr>
          <w:rFonts w:ascii="IBM Plex Sans" w:eastAsiaTheme="majorEastAsia" w:hAnsi="IBM Plex Sans" w:cstheme="minorHAnsi"/>
          <w:noProof/>
          <w:sz w:val="24"/>
          <w:szCs w:val="24"/>
        </w:rPr>
        <w:t xml:space="preserve"> Increased DER participation can lead to a more competitive energy market. When consumers generate their electricity through solar panels or participate in demand response programs, they can offset some of their electricity costs or even sell excess electricity back to the grid. This can potentially lower overall energy expenses for consumers.</w:t>
      </w:r>
    </w:p>
    <w:p w14:paraId="17E9BED1" w14:textId="6B719439"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Energy Independence and Resilience:</w:t>
      </w:r>
      <w:r w:rsidRPr="00EE3A6E">
        <w:rPr>
          <w:rFonts w:ascii="IBM Plex Sans" w:eastAsiaTheme="majorEastAsia" w:hAnsi="IBM Plex Sans" w:cstheme="minorHAnsi"/>
          <w:noProof/>
          <w:sz w:val="24"/>
          <w:szCs w:val="24"/>
        </w:rPr>
        <w:t xml:space="preserve"> By deploying DERs, consumers can become more energy independent and resilient. Solar panels combined with energy storage allow consumers to have a backup power supply during grid outages or emergencies, reducing their vulnerability to power disruptions.</w:t>
      </w:r>
    </w:p>
    <w:p w14:paraId="7D4A2639" w14:textId="4318FE9F"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Environmental Benefits:</w:t>
      </w:r>
      <w:r w:rsidRPr="00EE3A6E">
        <w:rPr>
          <w:rFonts w:ascii="IBM Plex Sans" w:eastAsiaTheme="majorEastAsia" w:hAnsi="IBM Plex Sans" w:cstheme="minorHAnsi"/>
          <w:noProof/>
          <w:sz w:val="24"/>
          <w:szCs w:val="24"/>
        </w:rPr>
        <w:t xml:space="preserve"> FERC 2222's promotion of renewable energy resources and other clean technologies can help reduce greenhouse gas emissions and air pollution. Consumers who participate in DER programs contribute to </w:t>
      </w:r>
      <w:r w:rsidRPr="00EE3A6E">
        <w:rPr>
          <w:rFonts w:ascii="IBM Plex Sans" w:eastAsiaTheme="majorEastAsia" w:hAnsi="IBM Plex Sans" w:cstheme="minorHAnsi"/>
          <w:noProof/>
          <w:sz w:val="24"/>
          <w:szCs w:val="24"/>
        </w:rPr>
        <w:lastRenderedPageBreak/>
        <w:t>environmental sustainability, aligning with their values and supporting the transition to a greener energy future.</w:t>
      </w:r>
    </w:p>
    <w:p w14:paraId="20A951CB" w14:textId="0CC5F292"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Consumer Participation in Wholesale Markets:</w:t>
      </w:r>
      <w:r w:rsidRPr="00EE3A6E">
        <w:rPr>
          <w:rFonts w:ascii="IBM Plex Sans" w:eastAsiaTheme="majorEastAsia" w:hAnsi="IBM Plex Sans" w:cstheme="minorHAnsi"/>
          <w:noProof/>
          <w:sz w:val="24"/>
          <w:szCs w:val="24"/>
        </w:rPr>
        <w:t xml:space="preserve"> FERC 2222 enables consumer-owned DERs to participate in wholesale energy markets. This means that individual households or businesses with DERs can contribute their excess electricity to the grid and receive compensation, which could incentivize more consumers to invest in DER installations.</w:t>
      </w:r>
    </w:p>
    <w:p w14:paraId="1AB3A09B" w14:textId="5155E448"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Innovative Energy Services:</w:t>
      </w:r>
      <w:r w:rsidRPr="00EE3A6E">
        <w:rPr>
          <w:rFonts w:ascii="IBM Plex Sans" w:eastAsiaTheme="majorEastAsia" w:hAnsi="IBM Plex Sans" w:cstheme="minorHAnsi"/>
          <w:noProof/>
          <w:sz w:val="24"/>
          <w:szCs w:val="24"/>
        </w:rPr>
        <w:t xml:space="preserve"> With the advancement of DER integration, consumers may have access to innovative energy services and technologies. For instance, they might have the option to participate in demand response programs, where they can adjust their energy usage during peak hours to earn incentives or credits.</w:t>
      </w:r>
    </w:p>
    <w:p w14:paraId="78251533" w14:textId="55EA8CE1"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Challenges and Barriers:</w:t>
      </w:r>
      <w:r w:rsidRPr="00EE3A6E">
        <w:rPr>
          <w:rFonts w:ascii="IBM Plex Sans" w:eastAsiaTheme="majorEastAsia" w:hAnsi="IBM Plex Sans" w:cstheme="minorHAnsi"/>
          <w:noProof/>
          <w:sz w:val="24"/>
          <w:szCs w:val="24"/>
        </w:rPr>
        <w:t xml:space="preserve"> While FERC 2222 brings several benefits, there might also be challenges and barriers for consumers. These could include the initial cost of installing DER technologies and potential complexities in navigating wholesale energy markets</w:t>
      </w:r>
      <w:r w:rsidR="002471F4" w:rsidRPr="00EE3A6E">
        <w:rPr>
          <w:rFonts w:ascii="IBM Plex Sans" w:eastAsiaTheme="majorEastAsia" w:hAnsi="IBM Plex Sans" w:cstheme="minorHAnsi"/>
          <w:noProof/>
          <w:sz w:val="24"/>
          <w:szCs w:val="24"/>
        </w:rPr>
        <w:t xml:space="preserve"> through aggregators</w:t>
      </w:r>
      <w:r w:rsidRPr="00EE3A6E">
        <w:rPr>
          <w:rFonts w:ascii="IBM Plex Sans" w:eastAsiaTheme="majorEastAsia" w:hAnsi="IBM Plex Sans" w:cstheme="minorHAnsi"/>
          <w:noProof/>
          <w:sz w:val="24"/>
          <w:szCs w:val="24"/>
        </w:rPr>
        <w:t>.</w:t>
      </w:r>
    </w:p>
    <w:p w14:paraId="41AB3CE3" w14:textId="76BB9C93" w:rsidR="005B6DAA" w:rsidRPr="00EE3A6E" w:rsidRDefault="005B6DAA" w:rsidP="00E67994">
      <w:pPr>
        <w:pStyle w:val="ListParagraph"/>
        <w:numPr>
          <w:ilvl w:val="0"/>
          <w:numId w:val="7"/>
        </w:numPr>
        <w:jc w:val="both"/>
        <w:rPr>
          <w:rFonts w:ascii="IBM Plex Sans" w:eastAsiaTheme="majorEastAsia" w:hAnsi="IBM Plex Sans" w:cstheme="minorHAnsi"/>
          <w:noProof/>
          <w:sz w:val="24"/>
          <w:szCs w:val="24"/>
        </w:rPr>
      </w:pPr>
      <w:r w:rsidRPr="00EE3A6E">
        <w:rPr>
          <w:rFonts w:ascii="IBM Plex Sans" w:eastAsiaTheme="majorEastAsia" w:hAnsi="IBM Plex Sans" w:cstheme="minorHAnsi"/>
          <w:b/>
          <w:bCs/>
          <w:noProof/>
          <w:sz w:val="24"/>
          <w:szCs w:val="24"/>
        </w:rPr>
        <w:t>Consumer Protection and Education:</w:t>
      </w:r>
      <w:r w:rsidRPr="00EE3A6E">
        <w:rPr>
          <w:rFonts w:ascii="IBM Plex Sans" w:eastAsiaTheme="majorEastAsia" w:hAnsi="IBM Plex Sans" w:cstheme="minorHAnsi"/>
          <w:noProof/>
          <w:sz w:val="24"/>
          <w:szCs w:val="24"/>
        </w:rPr>
        <w:t xml:space="preserve"> As DER participation increases, there might be a need for consumer protection regulations and education. Consumers will need to understand their rights, responsibilities, and potential risks associated with DER ownership and participation in the wholesale markets.</w:t>
      </w:r>
    </w:p>
    <w:p w14:paraId="447CF7C7" w14:textId="15AB03A1" w:rsidR="00DF3F81" w:rsidRPr="00EE3A6E" w:rsidRDefault="00831592" w:rsidP="00E67994">
      <w:pPr>
        <w:jc w:val="both"/>
        <w:rPr>
          <w:rFonts w:ascii="IBM Plex Sans" w:eastAsia="Times New Roman" w:hAnsi="IBM Plex Sans" w:cs="Segoe UI"/>
          <w:color w:val="374151"/>
        </w:rPr>
      </w:pPr>
      <w:r w:rsidRPr="00EE3A6E">
        <w:rPr>
          <w:rFonts w:ascii="IBM Plex Sans" w:eastAsiaTheme="majorEastAsia" w:hAnsi="IBM Plex Sans" w:cstheme="minorHAnsi"/>
          <w:noProof/>
          <w:sz w:val="24"/>
          <w:szCs w:val="24"/>
        </w:rPr>
        <w:t>T</w:t>
      </w:r>
      <w:r w:rsidR="005B6DAA" w:rsidRPr="00EE3A6E">
        <w:rPr>
          <w:rFonts w:ascii="IBM Plex Sans" w:eastAsiaTheme="majorEastAsia" w:hAnsi="IBM Plex Sans" w:cstheme="minorHAnsi"/>
          <w:noProof/>
          <w:sz w:val="24"/>
          <w:szCs w:val="24"/>
        </w:rPr>
        <w:t>he impact of FERC 2222 on consumers can be positive, providing more choices, cleaner energy options, and potential cost savings. However, it is essential to address challenges and ensure that consumers are well-informed and protected as they navigate the changing energy landscape.</w:t>
      </w:r>
    </w:p>
    <w:p w14:paraId="19E7CB6C" w14:textId="25D886DE" w:rsidR="008C4D41" w:rsidRPr="00EE3A6E" w:rsidRDefault="00E523E9" w:rsidP="00E67994">
      <w:pPr>
        <w:jc w:val="both"/>
        <w:rPr>
          <w:rFonts w:ascii="IBM Plex Sans" w:eastAsiaTheme="majorEastAsia" w:hAnsi="IBM Plex Sans" w:cstheme="majorBidi"/>
          <w:b/>
          <w:bCs/>
          <w:noProof/>
          <w:sz w:val="28"/>
          <w:szCs w:val="28"/>
        </w:rPr>
      </w:pPr>
      <w:r w:rsidRPr="00EE3A6E">
        <w:rPr>
          <w:rFonts w:ascii="IBM Plex Sans" w:eastAsiaTheme="majorEastAsia" w:hAnsi="IBM Plex Sans" w:cstheme="majorBidi"/>
          <w:b/>
          <w:bCs/>
          <w:noProof/>
          <w:sz w:val="28"/>
          <w:szCs w:val="28"/>
        </w:rPr>
        <w:t>DER Owners</w:t>
      </w:r>
      <w:r w:rsidR="00071670" w:rsidRPr="00EE3A6E">
        <w:rPr>
          <w:rFonts w:ascii="IBM Plex Sans" w:eastAsiaTheme="majorEastAsia" w:hAnsi="IBM Plex Sans" w:cstheme="majorBidi"/>
          <w:b/>
          <w:bCs/>
          <w:noProof/>
          <w:sz w:val="28"/>
          <w:szCs w:val="28"/>
        </w:rPr>
        <w:t xml:space="preserve"> and Aggregators</w:t>
      </w:r>
    </w:p>
    <w:p w14:paraId="01F64C4B" w14:textId="2E4E7436" w:rsidR="00347848" w:rsidRPr="00EE3A6E" w:rsidRDefault="00347848" w:rsidP="00E67994">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FERC Order 2222 has a significant impact on Distributed Energy Resources (DER) owners and energy aggregators, providing them with new opportunities and challenges in the energy market. Here are some key impacts of FERC 2222 on DER owners and energy aggregators</w:t>
      </w:r>
      <w:r w:rsidR="00C71466">
        <w:rPr>
          <w:rFonts w:ascii="IBM Plex Sans" w:eastAsiaTheme="majorEastAsia" w:hAnsi="IBM Plex Sans" w:cstheme="majorBidi"/>
          <w:noProof/>
          <w:sz w:val="24"/>
          <w:szCs w:val="24"/>
        </w:rPr>
        <w:t>,</w:t>
      </w:r>
    </w:p>
    <w:p w14:paraId="60D97D0F" w14:textId="3E1B0DE9"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Market Participation:</w:t>
      </w:r>
      <w:r w:rsidRPr="00EE3A6E">
        <w:rPr>
          <w:rFonts w:ascii="IBM Plex Sans" w:eastAsiaTheme="majorEastAsia" w:hAnsi="IBM Plex Sans" w:cstheme="majorBidi"/>
          <w:noProof/>
          <w:sz w:val="24"/>
          <w:szCs w:val="24"/>
        </w:rPr>
        <w:t xml:space="preserve"> FERC 2222 allows DER owners, which may include individual homeowners, businesses, or institutions, to participate in wholesale energy markets. This means that they can sell their excess electricity or demand response capabilities to grid operators and other market participants, potentially earning revenue from their DER assets.</w:t>
      </w:r>
    </w:p>
    <w:p w14:paraId="129FA1EA" w14:textId="0164EFDA"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Revenue Streams:</w:t>
      </w:r>
      <w:r w:rsidRPr="00EE3A6E">
        <w:rPr>
          <w:rFonts w:ascii="IBM Plex Sans" w:eastAsiaTheme="majorEastAsia" w:hAnsi="IBM Plex Sans" w:cstheme="majorBidi"/>
          <w:noProof/>
          <w:sz w:val="24"/>
          <w:szCs w:val="24"/>
        </w:rPr>
        <w:t xml:space="preserve"> Participation in wholesale markets offers additional revenue streams for DER owners and aggregators. By monetizing their DER assets, they </w:t>
      </w:r>
      <w:r w:rsidRPr="00EE3A6E">
        <w:rPr>
          <w:rFonts w:ascii="IBM Plex Sans" w:eastAsiaTheme="majorEastAsia" w:hAnsi="IBM Plex Sans" w:cstheme="majorBidi"/>
          <w:noProof/>
          <w:sz w:val="24"/>
          <w:szCs w:val="24"/>
        </w:rPr>
        <w:lastRenderedPageBreak/>
        <w:t>can recover some of their initial investment costs and potentially generate income from their clean energy resources.</w:t>
      </w:r>
    </w:p>
    <w:p w14:paraId="111342FC" w14:textId="24D53ED3"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Increased Demand for DERs:</w:t>
      </w:r>
      <w:r w:rsidRPr="00EE3A6E">
        <w:rPr>
          <w:rFonts w:ascii="IBM Plex Sans" w:eastAsiaTheme="majorEastAsia" w:hAnsi="IBM Plex Sans" w:cstheme="majorBidi"/>
          <w:noProof/>
          <w:sz w:val="24"/>
          <w:szCs w:val="24"/>
        </w:rPr>
        <w:t xml:space="preserve"> FERC 2222's provisions can lead to an increased demand for DER installations. As DER owners see the potential for market participation and revenue generation, there may be a higher adoption rate of solar PV systems, energy storage, and other DER technologies.</w:t>
      </w:r>
    </w:p>
    <w:p w14:paraId="2AFD8122" w14:textId="2AAF2A0C"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Aggregation Opportunities:</w:t>
      </w:r>
      <w:r w:rsidRPr="00EE3A6E">
        <w:rPr>
          <w:rFonts w:ascii="IBM Plex Sans" w:eastAsiaTheme="majorEastAsia" w:hAnsi="IBM Plex Sans" w:cstheme="majorBidi"/>
          <w:noProof/>
          <w:sz w:val="24"/>
          <w:szCs w:val="24"/>
        </w:rPr>
        <w:t xml:space="preserve"> The order allows DER aggregation, enabling energy aggregators to pool multiple DER assets and offer them as a single resource in the wholesale markets. Aggregation maximizes the value of DER participation and ensures that smaller DER installations can still contribute effectively to grid stability and demand response.</w:t>
      </w:r>
    </w:p>
    <w:p w14:paraId="5A4FC90C" w14:textId="42AB26C8"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Market Access and Visibility:</w:t>
      </w:r>
      <w:r w:rsidRPr="00EE3A6E">
        <w:rPr>
          <w:rFonts w:ascii="IBM Plex Sans" w:eastAsiaTheme="majorEastAsia" w:hAnsi="IBM Plex Sans" w:cstheme="majorBidi"/>
          <w:noProof/>
          <w:sz w:val="24"/>
          <w:szCs w:val="24"/>
        </w:rPr>
        <w:t xml:space="preserve"> FERC 2222 provides DER owners and aggregators with access to wholesale energy markets, which were traditionally dominated by large-scale power generators. This level playing field allows them to compete and showcase the value of their distributed energy resources.</w:t>
      </w:r>
    </w:p>
    <w:p w14:paraId="41E0A714" w14:textId="5F538BD9"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Incentives for Innovation:</w:t>
      </w:r>
      <w:r w:rsidRPr="00EE3A6E">
        <w:rPr>
          <w:rFonts w:ascii="IBM Plex Sans" w:eastAsiaTheme="majorEastAsia" w:hAnsi="IBM Plex Sans" w:cstheme="majorBidi"/>
          <w:noProof/>
          <w:sz w:val="24"/>
          <w:szCs w:val="24"/>
        </w:rPr>
        <w:t xml:space="preserve"> The order encourages innovation in the DER space. Energy aggregators may develop advanced software platforms and control systems to optimize DER operations and improve market participation strategies, leading to more efficient energy use and better financial returns.</w:t>
      </w:r>
    </w:p>
    <w:p w14:paraId="62767C4F" w14:textId="72F7D3B4"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Grid Services and Reliability:</w:t>
      </w:r>
      <w:r w:rsidRPr="00EE3A6E">
        <w:rPr>
          <w:rFonts w:ascii="IBM Plex Sans" w:eastAsiaTheme="majorEastAsia" w:hAnsi="IBM Plex Sans" w:cstheme="majorBidi"/>
          <w:noProof/>
          <w:sz w:val="24"/>
          <w:szCs w:val="24"/>
        </w:rPr>
        <w:t xml:space="preserve"> DERs, when aggregated, can provide valuable grid services like frequency regulation, load shifting, and grid balancing. Energy aggregators can offer these services to grid operators, contributing to grid reliability and resiliency.</w:t>
      </w:r>
    </w:p>
    <w:p w14:paraId="768BDEED" w14:textId="0EEC8520"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Regulatory Compliance and Standards:</w:t>
      </w:r>
      <w:r w:rsidRPr="00EE3A6E">
        <w:rPr>
          <w:rFonts w:ascii="IBM Plex Sans" w:eastAsiaTheme="majorEastAsia" w:hAnsi="IBM Plex Sans" w:cstheme="majorBidi"/>
          <w:noProof/>
          <w:sz w:val="24"/>
          <w:szCs w:val="24"/>
        </w:rPr>
        <w:t xml:space="preserve"> DER owners and aggregators must comply with FERC 2222 regulations to participate in wholesale markets. This involves meeting specific technical and reporting requirements, which may require adjustments to existing business practices and operations.</w:t>
      </w:r>
    </w:p>
    <w:p w14:paraId="6EF43071" w14:textId="1BB51567" w:rsidR="00347848" w:rsidRPr="00EE3A6E" w:rsidRDefault="00347848" w:rsidP="00E67994">
      <w:pPr>
        <w:pStyle w:val="ListParagraph"/>
        <w:numPr>
          <w:ilvl w:val="0"/>
          <w:numId w:val="8"/>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Potential Barriers and Challenges:</w:t>
      </w:r>
      <w:r w:rsidRPr="00EE3A6E">
        <w:rPr>
          <w:rFonts w:ascii="IBM Plex Sans" w:eastAsiaTheme="majorEastAsia" w:hAnsi="IBM Plex Sans" w:cstheme="majorBidi"/>
          <w:noProof/>
          <w:sz w:val="24"/>
          <w:szCs w:val="24"/>
        </w:rPr>
        <w:t xml:space="preserve"> Despite the opportunities, there can be challenges for DER owners and aggregators. These may include navigating complex market rules, ensuring interoperability among different DER technologies, and addressing regulatory barriers in specific regions.</w:t>
      </w:r>
    </w:p>
    <w:p w14:paraId="03A7DBC0" w14:textId="5CB6F767" w:rsidR="008C4D41" w:rsidRPr="00EE3A6E" w:rsidRDefault="00347848" w:rsidP="00E67994">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FERC 2222's impact on DER owners and energy aggregators is transformative, offering new revenue streams, market access, and opportunities for innovation. It can accelerate the growth of DER adoption, empowering individual participants to play a more active role in the energy transition and contribute to a more sustainable and decentralized energy future. However, successful market participation will require adaptability, collaboration, and compliance with regulatory standards.</w:t>
      </w:r>
    </w:p>
    <w:p w14:paraId="50208D9F" w14:textId="4DEFBAA8" w:rsidR="005F3383" w:rsidRPr="00EE3A6E" w:rsidRDefault="008F2E22" w:rsidP="00E67994">
      <w:pPr>
        <w:jc w:val="both"/>
        <w:rPr>
          <w:rFonts w:ascii="IBM Plex Sans" w:eastAsiaTheme="majorEastAsia" w:hAnsi="IBM Plex Sans" w:cstheme="majorBidi"/>
          <w:b/>
          <w:bCs/>
          <w:noProof/>
          <w:sz w:val="28"/>
          <w:szCs w:val="28"/>
        </w:rPr>
      </w:pPr>
      <w:r w:rsidRPr="00EE3A6E">
        <w:rPr>
          <w:rFonts w:ascii="IBM Plex Sans" w:eastAsiaTheme="majorEastAsia" w:hAnsi="IBM Plex Sans" w:cstheme="majorBidi"/>
          <w:b/>
          <w:bCs/>
          <w:noProof/>
          <w:sz w:val="28"/>
          <w:szCs w:val="28"/>
        </w:rPr>
        <w:lastRenderedPageBreak/>
        <w:t>Utility</w:t>
      </w:r>
    </w:p>
    <w:p w14:paraId="418FA844" w14:textId="2A6C3153" w:rsidR="006F24D7" w:rsidRPr="00EE3A6E" w:rsidRDefault="006F24D7" w:rsidP="00E67994">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FERC Order 2222 has significant implications for utilities as it aims to facilitate the integration of Distributed Energy Resources (DERs) into wholesale energy markets. </w:t>
      </w:r>
    </w:p>
    <w:p w14:paraId="3F3702BC" w14:textId="05AB2C77" w:rsidR="006F24D7"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Adapting Business Models:</w:t>
      </w:r>
      <w:r w:rsidRPr="00EE3A6E">
        <w:rPr>
          <w:rFonts w:ascii="IBM Plex Sans" w:eastAsiaTheme="majorEastAsia" w:hAnsi="IBM Plex Sans" w:cstheme="majorBidi"/>
          <w:noProof/>
          <w:sz w:val="24"/>
          <w:szCs w:val="24"/>
        </w:rPr>
        <w:t xml:space="preserve"> FERC 2222 encourages the participation of DERs in wholesale markets, which can lead to a more decentralized energy system. Utilities may need to adjust their traditional business models to accommodate the increasing number of DERs and the potential shift in their role within the energy value chain.</w:t>
      </w:r>
    </w:p>
    <w:p w14:paraId="1E177AC0" w14:textId="15F7257C"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Enhanced Grid Management:</w:t>
      </w:r>
      <w:r w:rsidRPr="00EE3A6E">
        <w:rPr>
          <w:rFonts w:ascii="IBM Plex Sans" w:eastAsiaTheme="majorEastAsia" w:hAnsi="IBM Plex Sans" w:cstheme="majorBidi"/>
          <w:noProof/>
          <w:sz w:val="24"/>
          <w:szCs w:val="24"/>
        </w:rPr>
        <w:t xml:space="preserve"> With more DERs participating in wholesale markets, utilities will need to manage and balance a more dynamic and diverse energy supply. Advanced grid management tools and technologies will be required to handle fluctuations in renewable generation from sources like solar and wind.</w:t>
      </w:r>
    </w:p>
    <w:p w14:paraId="680B893F" w14:textId="0E00EFF5"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Increased Collaboration:</w:t>
      </w:r>
      <w:r w:rsidRPr="00EE3A6E">
        <w:rPr>
          <w:rFonts w:ascii="IBM Plex Sans" w:eastAsiaTheme="majorEastAsia" w:hAnsi="IBM Plex Sans" w:cstheme="majorBidi"/>
          <w:noProof/>
          <w:sz w:val="24"/>
          <w:szCs w:val="24"/>
        </w:rPr>
        <w:t xml:space="preserve"> FERC 2222 encourages coordination between utilities and DER owners</w:t>
      </w:r>
      <w:r w:rsidR="008B523F" w:rsidRPr="00EE3A6E">
        <w:rPr>
          <w:rFonts w:ascii="IBM Plex Sans" w:eastAsiaTheme="majorEastAsia" w:hAnsi="IBM Plex Sans" w:cstheme="majorBidi"/>
          <w:noProof/>
          <w:sz w:val="24"/>
          <w:szCs w:val="24"/>
        </w:rPr>
        <w:t xml:space="preserve"> and Aggregators</w:t>
      </w:r>
      <w:r w:rsidRPr="00EE3A6E">
        <w:rPr>
          <w:rFonts w:ascii="IBM Plex Sans" w:eastAsiaTheme="majorEastAsia" w:hAnsi="IBM Plex Sans" w:cstheme="majorBidi"/>
          <w:noProof/>
          <w:sz w:val="24"/>
          <w:szCs w:val="24"/>
        </w:rPr>
        <w:t xml:space="preserve"> for efficient aggregation and participation. Utilities may need to collaborate closely with DER owners</w:t>
      </w:r>
      <w:r w:rsidR="003F1F74" w:rsidRPr="00EE3A6E">
        <w:rPr>
          <w:rFonts w:ascii="IBM Plex Sans" w:eastAsiaTheme="majorEastAsia" w:hAnsi="IBM Plex Sans" w:cstheme="majorBidi"/>
          <w:noProof/>
          <w:sz w:val="24"/>
          <w:szCs w:val="24"/>
        </w:rPr>
        <w:t xml:space="preserve"> and Aggregators</w:t>
      </w:r>
      <w:r w:rsidRPr="00EE3A6E">
        <w:rPr>
          <w:rFonts w:ascii="IBM Plex Sans" w:eastAsiaTheme="majorEastAsia" w:hAnsi="IBM Plex Sans" w:cstheme="majorBidi"/>
          <w:noProof/>
          <w:sz w:val="24"/>
          <w:szCs w:val="24"/>
        </w:rPr>
        <w:t xml:space="preserve"> to ensure seamless integration and optimize the use of DER assets.</w:t>
      </w:r>
    </w:p>
    <w:p w14:paraId="730DC1A8" w14:textId="26DE64ED"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Market Participation:</w:t>
      </w:r>
      <w:r w:rsidRPr="00EE3A6E">
        <w:rPr>
          <w:rFonts w:ascii="IBM Plex Sans" w:eastAsiaTheme="majorEastAsia" w:hAnsi="IBM Plex Sans" w:cstheme="majorBidi"/>
          <w:noProof/>
          <w:sz w:val="24"/>
          <w:szCs w:val="24"/>
        </w:rPr>
        <w:t xml:space="preserve"> The order allows aggregated DERs to participate in wholesale energy markets as a single entity. This opens up new opportunities for utilities to leverage DERs as virtual power plants or aggregators, potentially diversifying their revenue streams.</w:t>
      </w:r>
    </w:p>
    <w:p w14:paraId="0ED0A9BE" w14:textId="276413B4"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Distributed Energy Planning:</w:t>
      </w:r>
      <w:r w:rsidRPr="00EE3A6E">
        <w:rPr>
          <w:rFonts w:ascii="IBM Plex Sans" w:eastAsiaTheme="majorEastAsia" w:hAnsi="IBM Plex Sans" w:cstheme="majorBidi"/>
          <w:noProof/>
          <w:sz w:val="24"/>
          <w:szCs w:val="24"/>
        </w:rPr>
        <w:t xml:space="preserve"> As more DERs come online, utilities will need to consider them in their long-term planning processes. Integrating DERs effectively will require utilities to assess grid capacity, load forecasting, and potential impacts on infrastructure investment decisions.</w:t>
      </w:r>
    </w:p>
    <w:p w14:paraId="4D5CDEF3" w14:textId="086BA3DB"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Impact on Utility Revenue:</w:t>
      </w:r>
      <w:r w:rsidRPr="00EE3A6E">
        <w:rPr>
          <w:rFonts w:ascii="IBM Plex Sans" w:eastAsiaTheme="majorEastAsia" w:hAnsi="IBM Plex Sans" w:cstheme="majorBidi"/>
          <w:noProof/>
          <w:sz w:val="24"/>
          <w:szCs w:val="24"/>
        </w:rPr>
        <w:t xml:space="preserve"> With DERs participating in wholesale markets, utilities might face changes in their revenue streams. Depending on the market dynamics and regulatory framework, utilities may need to explore alternative revenue models to maintain financial viability.</w:t>
      </w:r>
    </w:p>
    <w:p w14:paraId="58AF970A" w14:textId="7207CEBD"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Demand Response and Grid Flexibility:</w:t>
      </w:r>
      <w:r w:rsidRPr="00EE3A6E">
        <w:rPr>
          <w:rFonts w:ascii="IBM Plex Sans" w:eastAsiaTheme="majorEastAsia" w:hAnsi="IBM Plex Sans" w:cstheme="majorBidi"/>
          <w:noProof/>
          <w:sz w:val="24"/>
          <w:szCs w:val="24"/>
        </w:rPr>
        <w:t xml:space="preserve"> FERC 2222 promotes demand response programs, enabling utilities to better manage peak demand periods by incentivizing consumers to adjust their energy consumption. This can enhance grid flexibility and reduce the need for costly infrastructure upgrades.</w:t>
      </w:r>
    </w:p>
    <w:p w14:paraId="301028E6" w14:textId="160135BA" w:rsidR="0091023B"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Incentivizing Grid Modernization:</w:t>
      </w:r>
      <w:r w:rsidRPr="00EE3A6E">
        <w:rPr>
          <w:rFonts w:ascii="IBM Plex Sans" w:eastAsiaTheme="majorEastAsia" w:hAnsi="IBM Plex Sans" w:cstheme="majorBidi"/>
          <w:noProof/>
          <w:sz w:val="24"/>
          <w:szCs w:val="24"/>
        </w:rPr>
        <w:t xml:space="preserve"> Integrating DERs can necessitate grid modernization efforts to accommodate two-way energy flows and ensure grid stability. FERC 2222 may incentivize utilities to invest in smart grid technologies and distribution automation.</w:t>
      </w:r>
    </w:p>
    <w:p w14:paraId="4B3C0D22" w14:textId="77777777" w:rsidR="0045313D"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lastRenderedPageBreak/>
        <w:t>Regulatory Compliance:</w:t>
      </w:r>
      <w:r w:rsidRPr="00EE3A6E">
        <w:rPr>
          <w:rFonts w:ascii="IBM Plex Sans" w:eastAsiaTheme="majorEastAsia" w:hAnsi="IBM Plex Sans" w:cstheme="majorBidi"/>
          <w:noProof/>
          <w:sz w:val="24"/>
          <w:szCs w:val="24"/>
        </w:rPr>
        <w:t xml:space="preserve"> Utilities will need to comply with FERC 2222 requirements and coordinate with regional transmission organizations (RTOs) and independent system operators (ISOs) to ensure successful implementation.</w:t>
      </w:r>
    </w:p>
    <w:p w14:paraId="5814623C" w14:textId="6E0BA862" w:rsidR="006F24D7" w:rsidRPr="00EE3A6E" w:rsidRDefault="006F24D7" w:rsidP="00E67994">
      <w:pPr>
        <w:pStyle w:val="ListParagraph"/>
        <w:numPr>
          <w:ilvl w:val="0"/>
          <w:numId w:val="9"/>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 xml:space="preserve">New Opportunities and Challenges: </w:t>
      </w:r>
      <w:r w:rsidRPr="00EE3A6E">
        <w:rPr>
          <w:rFonts w:ascii="IBM Plex Sans" w:eastAsiaTheme="majorEastAsia" w:hAnsi="IBM Plex Sans" w:cstheme="majorBidi"/>
          <w:noProof/>
          <w:sz w:val="24"/>
          <w:szCs w:val="24"/>
        </w:rPr>
        <w:t>While FERC 2222 presents utilities with new opportunities in the evolving energy landscape, it also poses challenges related to managing increased complexity, data management, cybersecurity, and ensuring fair market access for all participants.</w:t>
      </w:r>
    </w:p>
    <w:p w14:paraId="5C1BAFC5" w14:textId="77777777" w:rsidR="0091023B" w:rsidRPr="00EE3A6E" w:rsidRDefault="0091023B" w:rsidP="00E67994">
      <w:pPr>
        <w:pStyle w:val="ListParagraph"/>
        <w:ind w:left="0"/>
        <w:jc w:val="both"/>
        <w:rPr>
          <w:rFonts w:ascii="IBM Plex Sans" w:eastAsiaTheme="majorEastAsia" w:hAnsi="IBM Plex Sans" w:cstheme="majorBidi"/>
          <w:noProof/>
          <w:sz w:val="24"/>
          <w:szCs w:val="24"/>
        </w:rPr>
      </w:pPr>
    </w:p>
    <w:p w14:paraId="28C2B029" w14:textId="1356B187" w:rsidR="007A52A1" w:rsidRPr="00EE3A6E" w:rsidRDefault="006F24D7" w:rsidP="00E67994">
      <w:pPr>
        <w:pStyle w:val="ListParagraph"/>
        <w:ind w:left="0"/>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FERC 2222 significantly impacts utilities by encouraging DER integration in wholesale markets. It requires utilities to adapt their operations, business models, and planning strategies to accommodate the changing energy landscape and leverage the potential benefits of distributed energy resources. Successful implementation of FERC 2222 can lead to a more efficient, flexible, and resilient energy system for both utilities and consumers.</w:t>
      </w:r>
    </w:p>
    <w:p w14:paraId="3784EFE4" w14:textId="7CDBF698" w:rsidR="000B77BC" w:rsidRPr="007A5D66" w:rsidRDefault="00AD4661" w:rsidP="00E67994">
      <w:pPr>
        <w:pStyle w:val="Heading1"/>
        <w:jc w:val="both"/>
        <w:rPr>
          <w:rFonts w:ascii="IBM Plex Sans" w:hAnsi="IBM Plex Sans"/>
          <w:color w:val="0070C0"/>
          <w:sz w:val="32"/>
          <w:szCs w:val="32"/>
        </w:rPr>
      </w:pPr>
      <w:r w:rsidRPr="007A5D66">
        <w:rPr>
          <w:rFonts w:ascii="IBM Plex Sans" w:hAnsi="IBM Plex Sans"/>
          <w:color w:val="0070C0"/>
          <w:sz w:val="32"/>
          <w:szCs w:val="32"/>
        </w:rPr>
        <w:t xml:space="preserve">Unlock the </w:t>
      </w:r>
      <w:r w:rsidR="005F5B0C" w:rsidRPr="007A5D66">
        <w:rPr>
          <w:rFonts w:ascii="IBM Plex Sans" w:hAnsi="IBM Plex Sans"/>
          <w:color w:val="0070C0"/>
          <w:sz w:val="32"/>
          <w:szCs w:val="32"/>
        </w:rPr>
        <w:t xml:space="preserve">Opportunities for Utilities </w:t>
      </w:r>
      <w:r w:rsidR="00A51828" w:rsidRPr="007A5D66">
        <w:rPr>
          <w:rFonts w:ascii="IBM Plex Sans" w:hAnsi="IBM Plex Sans"/>
          <w:color w:val="0070C0"/>
          <w:sz w:val="32"/>
          <w:szCs w:val="32"/>
        </w:rPr>
        <w:t xml:space="preserve">to improve </w:t>
      </w:r>
      <w:r w:rsidR="00ED2E62" w:rsidRPr="007A5D66">
        <w:rPr>
          <w:rFonts w:ascii="IBM Plex Sans" w:hAnsi="IBM Plex Sans"/>
          <w:color w:val="0070C0"/>
          <w:sz w:val="32"/>
          <w:szCs w:val="32"/>
        </w:rPr>
        <w:t xml:space="preserve">Business Process </w:t>
      </w:r>
      <w:r w:rsidR="002F3360" w:rsidRPr="007A5D66">
        <w:rPr>
          <w:rFonts w:ascii="IBM Plex Sans" w:hAnsi="IBM Plex Sans"/>
          <w:color w:val="0070C0"/>
          <w:sz w:val="32"/>
          <w:szCs w:val="32"/>
        </w:rPr>
        <w:t>Optimization</w:t>
      </w:r>
    </w:p>
    <w:p w14:paraId="47E5C9B5" w14:textId="65996D35" w:rsidR="006F24D7" w:rsidRPr="00EE3A6E" w:rsidRDefault="006F24D7" w:rsidP="00E67994">
      <w:pPr>
        <w:pStyle w:val="ListParagraph"/>
        <w:ind w:left="0"/>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FERC 2222, which encourages the participation of Distributed Energy Resources (DERs) in wholesale energy markets, can significantly impact utilities' business models. Adapting to the changing energy landscape requires utilities to evolve their strategies and operations. </w:t>
      </w:r>
    </w:p>
    <w:p w14:paraId="37922CE2" w14:textId="77777777" w:rsidR="00554A7A" w:rsidRPr="00EE3A6E" w:rsidRDefault="00554A7A" w:rsidP="00E67994">
      <w:pPr>
        <w:pStyle w:val="ListParagraph"/>
        <w:ind w:left="0"/>
        <w:jc w:val="both"/>
        <w:rPr>
          <w:rFonts w:ascii="IBM Plex Sans" w:eastAsiaTheme="majorEastAsia" w:hAnsi="IBM Plex Sans" w:cstheme="majorBidi"/>
          <w:noProof/>
          <w:sz w:val="24"/>
          <w:szCs w:val="24"/>
        </w:rPr>
      </w:pPr>
    </w:p>
    <w:p w14:paraId="04B86300" w14:textId="46D35CD0"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DER Aggregation Services:</w:t>
      </w:r>
      <w:r w:rsidRPr="00EE3A6E">
        <w:rPr>
          <w:rFonts w:ascii="IBM Plex Sans" w:eastAsiaTheme="majorEastAsia" w:hAnsi="IBM Plex Sans" w:cstheme="majorBidi"/>
          <w:noProof/>
          <w:sz w:val="24"/>
          <w:szCs w:val="24"/>
        </w:rPr>
        <w:t xml:space="preserve"> Utilities can explore opportunities to act as aggregators of DERs, combining multiple smaller resources into larger virtual power plants. By providing DER aggregation services, utilities can optimize the collective output of diverse resources and offer more reliable and competitive energy supply options to wholesale markets.</w:t>
      </w:r>
    </w:p>
    <w:p w14:paraId="26B3369E" w14:textId="6B89242E"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Energy Services and Solutions:</w:t>
      </w:r>
      <w:r w:rsidRPr="00EE3A6E">
        <w:rPr>
          <w:rFonts w:ascii="IBM Plex Sans" w:eastAsiaTheme="majorEastAsia" w:hAnsi="IBM Plex Sans" w:cstheme="majorBidi"/>
          <w:noProof/>
          <w:sz w:val="24"/>
          <w:szCs w:val="24"/>
        </w:rPr>
        <w:t xml:space="preserve"> As the energy sector moves towards greater decentralization, utilities can broaden their service offerings beyond traditional electricity sales. Utilities can provide energy-related solutions such as energy management services, grid optimization, and demand response programs to consumers and DER owners.</w:t>
      </w:r>
    </w:p>
    <w:p w14:paraId="5EAF141A" w14:textId="3DB5A5B5"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Facilitating Market Access for DER Owners:</w:t>
      </w:r>
      <w:r w:rsidRPr="00EE3A6E">
        <w:rPr>
          <w:rFonts w:ascii="IBM Plex Sans" w:eastAsiaTheme="majorEastAsia" w:hAnsi="IBM Plex Sans" w:cstheme="majorBidi"/>
          <w:noProof/>
          <w:sz w:val="24"/>
          <w:szCs w:val="24"/>
        </w:rPr>
        <w:t xml:space="preserve"> FERC 2222 allows DER owners to participate in wholesale markets, but they might require technical expertise, market knowledge, and regulatory support. Utilities can assist DER owners in navigating the complexities of market participation, helping them maximize the value of their assets.</w:t>
      </w:r>
    </w:p>
    <w:p w14:paraId="17F9426F" w14:textId="486EC89B" w:rsidR="006F24D7"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lastRenderedPageBreak/>
        <w:t>Customer Engagement and Energy Choices:</w:t>
      </w:r>
      <w:r w:rsidRPr="00EE3A6E">
        <w:rPr>
          <w:rFonts w:ascii="IBM Plex Sans" w:eastAsiaTheme="majorEastAsia" w:hAnsi="IBM Plex Sans" w:cstheme="majorBidi"/>
          <w:noProof/>
          <w:sz w:val="24"/>
          <w:szCs w:val="24"/>
        </w:rPr>
        <w:t xml:space="preserve"> Utilities can engage customers more actively in energy decision-making by offering personalized energy options, tariff structures, and rate plans. Empowering customers with choices and insights into their energy usage can lead to increased customer satisfaction and loyalty.</w:t>
      </w:r>
    </w:p>
    <w:p w14:paraId="7CABBED0" w14:textId="77777777" w:rsidR="00554A7A" w:rsidRPr="00EE3A6E" w:rsidRDefault="00554A7A" w:rsidP="00E67994">
      <w:pPr>
        <w:pStyle w:val="ListParagraph"/>
        <w:ind w:left="0"/>
        <w:jc w:val="both"/>
        <w:rPr>
          <w:rFonts w:ascii="IBM Plex Sans" w:eastAsiaTheme="majorEastAsia" w:hAnsi="IBM Plex Sans" w:cstheme="majorBidi"/>
          <w:noProof/>
          <w:sz w:val="24"/>
          <w:szCs w:val="24"/>
        </w:rPr>
      </w:pPr>
    </w:p>
    <w:p w14:paraId="01D94EDD" w14:textId="4D33DCE9"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Grid Modernization:</w:t>
      </w:r>
      <w:r w:rsidRPr="00EE3A6E">
        <w:rPr>
          <w:rFonts w:ascii="IBM Plex Sans" w:eastAsiaTheme="majorEastAsia" w:hAnsi="IBM Plex Sans" w:cstheme="majorBidi"/>
          <w:noProof/>
          <w:sz w:val="24"/>
          <w:szCs w:val="24"/>
        </w:rPr>
        <w:t xml:space="preserve"> FERC 2222 encourages the integration of DERs, which can introduce two-way energy flows and impact grid stability. Utilities need to invest in grid modernization efforts, such as advanced metering infrastructure, distribution automation, and grid management systems, to handle the complexities of integrating DERs.</w:t>
      </w:r>
    </w:p>
    <w:p w14:paraId="167E09EA" w14:textId="16ABF8C7"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Innovative Partnerships:</w:t>
      </w:r>
      <w:r w:rsidRPr="00EE3A6E">
        <w:rPr>
          <w:rFonts w:ascii="IBM Plex Sans" w:eastAsiaTheme="majorEastAsia" w:hAnsi="IBM Plex Sans" w:cstheme="majorBidi"/>
          <w:noProof/>
          <w:sz w:val="24"/>
          <w:szCs w:val="24"/>
        </w:rPr>
        <w:t xml:space="preserve"> Utilities can form strategic partnerships with DER developers, technology providers, and energy service companies. Collaborating with these stakeholders can unlock new revenue streams and enhance the utility's capabilities in managing DER integration and operations.</w:t>
      </w:r>
    </w:p>
    <w:p w14:paraId="0282C109" w14:textId="25891904"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Demand Response and Flexibility Services:</w:t>
      </w:r>
      <w:r w:rsidRPr="00EE3A6E">
        <w:rPr>
          <w:rFonts w:ascii="IBM Plex Sans" w:eastAsiaTheme="majorEastAsia" w:hAnsi="IBM Plex Sans" w:cstheme="majorBidi"/>
          <w:noProof/>
          <w:sz w:val="24"/>
          <w:szCs w:val="24"/>
        </w:rPr>
        <w:t xml:space="preserve"> As DERs can provide demand response capabilities, utilities can use these resources to manage peak demand periods, reduce the need for costly infrastructure upgrades, and improve grid flexibility.</w:t>
      </w:r>
    </w:p>
    <w:p w14:paraId="14C227EB" w14:textId="412C5F52"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Data Analytics and AI Solutions:</w:t>
      </w:r>
      <w:r w:rsidRPr="00EE3A6E">
        <w:rPr>
          <w:rFonts w:ascii="IBM Plex Sans" w:eastAsiaTheme="majorEastAsia" w:hAnsi="IBM Plex Sans" w:cstheme="majorBidi"/>
          <w:noProof/>
          <w:sz w:val="24"/>
          <w:szCs w:val="24"/>
        </w:rPr>
        <w:t xml:space="preserve"> Utilities can leverage data analytics and artificial intelligence (AI) technologies to optimize the performance of aggregated DERs, forecast energy supply and demand, and make data-driven decisions for efficient grid management.</w:t>
      </w:r>
    </w:p>
    <w:p w14:paraId="03096DA9" w14:textId="7BB0C345" w:rsidR="00554A7A"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Regulatory and Policy Advocacy:</w:t>
      </w:r>
      <w:r w:rsidRPr="00EE3A6E">
        <w:rPr>
          <w:rFonts w:ascii="IBM Plex Sans" w:eastAsiaTheme="majorEastAsia" w:hAnsi="IBM Plex Sans" w:cstheme="majorBidi"/>
          <w:noProof/>
          <w:sz w:val="24"/>
          <w:szCs w:val="24"/>
        </w:rPr>
        <w:t xml:space="preserve"> FERC 2222 compliance might require changes in the regulatory framework at both the federal and state levels. Utilities can actively engage in policy advocacy to ensure the creation of a supportive environment for DER integration and wholesale market participation.</w:t>
      </w:r>
    </w:p>
    <w:p w14:paraId="64DEF560" w14:textId="5ACDD425" w:rsidR="006F24D7" w:rsidRPr="00EE3A6E" w:rsidRDefault="006F24D7" w:rsidP="00E67994">
      <w:pPr>
        <w:pStyle w:val="ListParagraph"/>
        <w:numPr>
          <w:ilvl w:val="0"/>
          <w:numId w:val="10"/>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 xml:space="preserve">Risk Management and Business Resilience: </w:t>
      </w:r>
      <w:r w:rsidRPr="00EE3A6E">
        <w:rPr>
          <w:rFonts w:ascii="IBM Plex Sans" w:eastAsiaTheme="majorEastAsia" w:hAnsi="IBM Plex Sans" w:cstheme="majorBidi"/>
          <w:noProof/>
          <w:sz w:val="24"/>
          <w:szCs w:val="24"/>
        </w:rPr>
        <w:t>As utilities adapt to new market dynamics, they need to assess and manage risks associated with DER integration, market volatility, and potential revenue shifts. Developing robust risk management strategies can enhance business resilience.</w:t>
      </w:r>
    </w:p>
    <w:p w14:paraId="26C3AFF2" w14:textId="77777777" w:rsidR="00554A7A" w:rsidRPr="00EE3A6E" w:rsidRDefault="00554A7A" w:rsidP="00E67994">
      <w:pPr>
        <w:pStyle w:val="ListParagraph"/>
        <w:ind w:left="0"/>
        <w:jc w:val="both"/>
        <w:rPr>
          <w:rFonts w:ascii="IBM Plex Sans" w:eastAsiaTheme="majorEastAsia" w:hAnsi="IBM Plex Sans" w:cstheme="majorBidi"/>
          <w:noProof/>
          <w:sz w:val="24"/>
          <w:szCs w:val="24"/>
        </w:rPr>
      </w:pPr>
    </w:p>
    <w:p w14:paraId="07C508E9" w14:textId="723E01EE" w:rsidR="00DA5426" w:rsidRPr="00EE3A6E" w:rsidRDefault="006F24D7" w:rsidP="00E67994">
      <w:pPr>
        <w:pStyle w:val="ListParagraph"/>
        <w:ind w:left="0"/>
        <w:jc w:val="both"/>
        <w:rPr>
          <w:rFonts w:ascii="IBM Plex Sans" w:hAnsi="IBM Plex Sans"/>
          <w:sz w:val="20"/>
          <w:szCs w:val="20"/>
        </w:rPr>
      </w:pPr>
      <w:r w:rsidRPr="00EE3A6E">
        <w:rPr>
          <w:rFonts w:ascii="IBM Plex Sans" w:eastAsiaTheme="majorEastAsia" w:hAnsi="IBM Plex Sans" w:cstheme="majorBidi"/>
          <w:noProof/>
          <w:sz w:val="24"/>
          <w:szCs w:val="24"/>
        </w:rPr>
        <w:t>FERC 2222 presents utilities with opportunities to reimagine their roles and transform their business models to thrive in a rapidly changing energy landscape. By embracing DER integration and customer-centric approaches, utilities can position themselves for success in a more decentralized and sustainable energy future.</w:t>
      </w:r>
      <w:r w:rsidR="00DA5426" w:rsidRPr="00EE3A6E">
        <w:rPr>
          <w:rFonts w:ascii="IBM Plex Sans" w:hAnsi="IBM Plex Sans"/>
          <w:sz w:val="20"/>
          <w:szCs w:val="20"/>
        </w:rPr>
        <w:br w:type="page"/>
      </w:r>
    </w:p>
    <w:p w14:paraId="57F3AF1E" w14:textId="4BBD4D1A" w:rsidR="0070638F" w:rsidRPr="007A5D66" w:rsidRDefault="002F3360" w:rsidP="002F3360">
      <w:pPr>
        <w:pStyle w:val="Heading1"/>
        <w:rPr>
          <w:rFonts w:ascii="IBM Plex Sans" w:hAnsi="IBM Plex Sans"/>
          <w:color w:val="0070C0"/>
          <w:sz w:val="32"/>
          <w:szCs w:val="32"/>
        </w:rPr>
      </w:pPr>
      <w:r w:rsidRPr="007A5D66">
        <w:rPr>
          <w:rFonts w:ascii="IBM Plex Sans" w:hAnsi="IBM Plex Sans"/>
          <w:color w:val="0070C0"/>
          <w:sz w:val="32"/>
          <w:szCs w:val="32"/>
        </w:rPr>
        <w:lastRenderedPageBreak/>
        <w:t xml:space="preserve">FERC 2222 </w:t>
      </w:r>
      <w:r w:rsidR="0070638F" w:rsidRPr="007A5D66">
        <w:rPr>
          <w:rFonts w:ascii="IBM Plex Sans" w:hAnsi="IBM Plex Sans"/>
          <w:color w:val="0070C0"/>
          <w:sz w:val="32"/>
          <w:szCs w:val="32"/>
        </w:rPr>
        <w:t>Outlook</w:t>
      </w:r>
    </w:p>
    <w:p w14:paraId="2053FE16" w14:textId="196B203F"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 xml:space="preserve">Continued DER Integration: </w:t>
      </w:r>
      <w:r w:rsidRPr="00EE3A6E">
        <w:rPr>
          <w:rFonts w:ascii="IBM Plex Sans" w:eastAsiaTheme="majorEastAsia" w:hAnsi="IBM Plex Sans" w:cstheme="majorBidi"/>
          <w:noProof/>
          <w:sz w:val="24"/>
          <w:szCs w:val="24"/>
        </w:rPr>
        <w:t>The implementation of FERC Order 2222 is expected to continue driving the integration of Distributed Energy Resources (DERs) into wholesale energy markets. As more utilities and stakeholders become familiar with the order's provisions, the number of DER aggregations participating in markets is likely to increase.</w:t>
      </w:r>
    </w:p>
    <w:p w14:paraId="3AC46A47" w14:textId="4B9BE990"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Market Expansion and Diversification:</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With FERC 2222 facilitating the entry of aggregated DERs into wholesale markets, there will likely be an expansion of market participation by various DER types, such as solar, wind, storage, demand response, and others. This will lead to a more diverse and flexible energy mix.</w:t>
      </w:r>
    </w:p>
    <w:p w14:paraId="2A954875" w14:textId="3D89EEC9"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Technological Advancements:</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As DER participation grows, there will likely be advancements in technology and grid management tools. Utilities and grid operators may invest in more sophisticated forecasting, monitoring, and control systems to accommodate the variability and complexity introduced by DERs.</w:t>
      </w:r>
    </w:p>
    <w:p w14:paraId="5380757D" w14:textId="04AF6007"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Regulatory Refinements:</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FERC Order 2222 is a groundbreaking step towards DER integration, but there may be room for regulatory refinements and adjustments based on practical experiences and feedback from stakeholders. Regulatory bodies could potentially revisit certain aspects of the order to optimize its effectiveness and address any identified challenges.</w:t>
      </w:r>
    </w:p>
    <w:p w14:paraId="55D67356" w14:textId="58E2AEA5"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Demand Response Growth:</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FERC 2222's promotion of demand response through aggregated DERs can lead to increased demand response participation. Utilities may work with commercial and industrial customers to incorporate flexible demand response programs that support grid stability and reduce peak demand.</w:t>
      </w:r>
    </w:p>
    <w:p w14:paraId="4C79AE63" w14:textId="2F9283F8"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Collaboration and Partnerships:</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Utilities are likely to collaborate more closely with DER owners, aggregators, and other stakeholders to optimize DER integration. Partnerships and joint ventures may emerge to pool resources, share expertise, and develop innovative market solutions.</w:t>
      </w:r>
    </w:p>
    <w:p w14:paraId="446773AC" w14:textId="64551E1F"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Market Evolution:</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FERC 2222 is expected to contribute to the evolution of wholesale energy markets, as it encourages a transition towards a more decentralized, customer-centric, and sustainable energy system. This evolution may influence future market designs and policy developments.</w:t>
      </w:r>
    </w:p>
    <w:p w14:paraId="131C0E31" w14:textId="222AC7D8"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Global Influence:</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The success of FERC 2222 in promoting DER integration in the United States may inspire similar initiatives and policies worldwide. Other countries and regions could adopt similar approaches to enable DER participation in their respective wholesale energy markets.</w:t>
      </w:r>
    </w:p>
    <w:p w14:paraId="186943E9" w14:textId="62647060" w:rsidR="008467BE" w:rsidRPr="00EE3A6E" w:rsidRDefault="008467BE" w:rsidP="00DA6C24">
      <w:pPr>
        <w:pStyle w:val="ListParagraph"/>
        <w:numPr>
          <w:ilvl w:val="0"/>
          <w:numId w:val="11"/>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Market Participation and Revenue Growth:</w:t>
      </w:r>
      <w:r w:rsidR="005A51D0" w:rsidRPr="00EE3A6E">
        <w:rPr>
          <w:rFonts w:ascii="IBM Plex Sans" w:eastAsiaTheme="majorEastAsia" w:hAnsi="IBM Plex Sans" w:cstheme="majorBidi"/>
          <w:b/>
          <w:bCs/>
          <w:noProof/>
          <w:sz w:val="24"/>
          <w:szCs w:val="24"/>
        </w:rPr>
        <w:t xml:space="preserve"> </w:t>
      </w:r>
      <w:r w:rsidRPr="00EE3A6E">
        <w:rPr>
          <w:rFonts w:ascii="IBM Plex Sans" w:eastAsiaTheme="majorEastAsia" w:hAnsi="IBM Plex Sans" w:cstheme="majorBidi"/>
          <w:noProof/>
          <w:sz w:val="24"/>
          <w:szCs w:val="24"/>
        </w:rPr>
        <w:t xml:space="preserve">For utilities, the successful integration of DERs can create new revenue streams and opportunities for </w:t>
      </w:r>
      <w:r w:rsidRPr="00EE3A6E">
        <w:rPr>
          <w:rFonts w:ascii="IBM Plex Sans" w:eastAsiaTheme="majorEastAsia" w:hAnsi="IBM Plex Sans" w:cstheme="majorBidi"/>
          <w:noProof/>
          <w:sz w:val="24"/>
          <w:szCs w:val="24"/>
        </w:rPr>
        <w:lastRenderedPageBreak/>
        <w:t>providing grid services. Embracing DER participation can position utilities as key players in the future energy market.</w:t>
      </w:r>
    </w:p>
    <w:p w14:paraId="008F5854" w14:textId="163C334F" w:rsidR="003A61D4" w:rsidRPr="007A5D66" w:rsidRDefault="003A61D4" w:rsidP="00DA6C24">
      <w:pPr>
        <w:pStyle w:val="Heading1"/>
        <w:jc w:val="both"/>
        <w:rPr>
          <w:rFonts w:ascii="IBM Plex Sans" w:hAnsi="IBM Plex Sans"/>
          <w:color w:val="0070C0"/>
          <w:sz w:val="32"/>
          <w:szCs w:val="32"/>
        </w:rPr>
      </w:pPr>
      <w:r w:rsidRPr="007A5D66">
        <w:rPr>
          <w:rFonts w:ascii="IBM Plex Sans" w:hAnsi="IBM Plex Sans"/>
          <w:color w:val="0070C0"/>
          <w:sz w:val="32"/>
          <w:szCs w:val="32"/>
        </w:rPr>
        <w:t>Technology Advancements due to FERC 2222</w:t>
      </w:r>
    </w:p>
    <w:p w14:paraId="180D26BE" w14:textId="4D7E27E7" w:rsidR="002A5024" w:rsidRPr="00EE3A6E" w:rsidRDefault="002A5024" w:rsidP="00DA6C24">
      <w:pPr>
        <w:pStyle w:val="Heading2"/>
        <w:jc w:val="both"/>
        <w:rPr>
          <w:rFonts w:ascii="IBM Plex Sans" w:hAnsi="IBM Plex Sans"/>
          <w:noProof/>
          <w:color w:val="auto"/>
          <w:sz w:val="24"/>
          <w:szCs w:val="24"/>
        </w:rPr>
      </w:pPr>
      <w:r w:rsidRPr="00EE3A6E">
        <w:rPr>
          <w:rFonts w:ascii="IBM Plex Sans" w:hAnsi="IBM Plex Sans"/>
          <w:noProof/>
          <w:color w:val="auto"/>
          <w:sz w:val="24"/>
          <w:szCs w:val="24"/>
        </w:rPr>
        <w:t xml:space="preserve">FERC Order 2222, which facilitates the participation of Distributed Energy Resources (DERs) in wholesale markets, has been a driving force behind several technology advancements in the energy industry. </w:t>
      </w:r>
      <w:r w:rsidR="005A51D0" w:rsidRPr="00EE3A6E">
        <w:rPr>
          <w:rFonts w:ascii="IBM Plex Sans" w:hAnsi="IBM Plex Sans"/>
          <w:noProof/>
          <w:color w:val="auto"/>
          <w:sz w:val="24"/>
          <w:szCs w:val="24"/>
        </w:rPr>
        <w:t>Below</w:t>
      </w:r>
      <w:r w:rsidRPr="00EE3A6E">
        <w:rPr>
          <w:rFonts w:ascii="IBM Plex Sans" w:hAnsi="IBM Plex Sans"/>
          <w:noProof/>
          <w:color w:val="auto"/>
          <w:sz w:val="24"/>
          <w:szCs w:val="24"/>
        </w:rPr>
        <w:t xml:space="preserve"> are some of the technology advancements caused by FERC 2222</w:t>
      </w:r>
      <w:r w:rsidR="005A51D0" w:rsidRPr="00EE3A6E">
        <w:rPr>
          <w:rFonts w:ascii="IBM Plex Sans" w:hAnsi="IBM Plex Sans"/>
          <w:noProof/>
          <w:color w:val="auto"/>
          <w:sz w:val="24"/>
          <w:szCs w:val="24"/>
        </w:rPr>
        <w:t xml:space="preserve">. </w:t>
      </w:r>
    </w:p>
    <w:p w14:paraId="49DCB9B4" w14:textId="77777777" w:rsidR="00393E5A" w:rsidRPr="00EE3A6E" w:rsidRDefault="00393E5A" w:rsidP="00DA6C24">
      <w:pPr>
        <w:pStyle w:val="Heading2"/>
        <w:jc w:val="both"/>
        <w:rPr>
          <w:rFonts w:ascii="IBM Plex Sans" w:hAnsi="IBM Plex Sans"/>
          <w:b/>
          <w:bCs/>
          <w:noProof/>
          <w:color w:val="auto"/>
          <w:sz w:val="24"/>
          <w:szCs w:val="24"/>
        </w:rPr>
      </w:pPr>
    </w:p>
    <w:p w14:paraId="7C997095" w14:textId="682AB719" w:rsidR="006819E6" w:rsidRPr="00EE3A6E" w:rsidRDefault="002A5024" w:rsidP="00DA6C24">
      <w:pPr>
        <w:pStyle w:val="Heading2"/>
        <w:numPr>
          <w:ilvl w:val="0"/>
          <w:numId w:val="12"/>
        </w:numPr>
        <w:jc w:val="both"/>
        <w:rPr>
          <w:rFonts w:ascii="IBM Plex Sans" w:hAnsi="IBM Plex Sans"/>
          <w:b/>
          <w:bCs/>
          <w:noProof/>
          <w:color w:val="auto"/>
          <w:sz w:val="24"/>
          <w:szCs w:val="24"/>
        </w:rPr>
      </w:pPr>
      <w:r w:rsidRPr="00EE3A6E">
        <w:rPr>
          <w:rFonts w:ascii="IBM Plex Sans" w:hAnsi="IBM Plex Sans"/>
          <w:b/>
          <w:bCs/>
          <w:noProof/>
          <w:color w:val="auto"/>
          <w:sz w:val="24"/>
          <w:szCs w:val="24"/>
        </w:rPr>
        <w:t>Advanced DER Aggregation Platforms</w:t>
      </w:r>
      <w:r w:rsidR="005A51D0" w:rsidRPr="00EE3A6E">
        <w:rPr>
          <w:rFonts w:ascii="IBM Plex Sans" w:hAnsi="IBM Plex Sans"/>
          <w:b/>
          <w:bCs/>
          <w:noProof/>
          <w:color w:val="auto"/>
          <w:sz w:val="24"/>
          <w:szCs w:val="24"/>
        </w:rPr>
        <w:t xml:space="preserve">: </w:t>
      </w:r>
      <w:r w:rsidRPr="00EE3A6E">
        <w:rPr>
          <w:rFonts w:ascii="IBM Plex Sans" w:hAnsi="IBM Plex Sans"/>
          <w:noProof/>
          <w:color w:val="auto"/>
          <w:sz w:val="24"/>
          <w:szCs w:val="24"/>
        </w:rPr>
        <w:t>FERC 2222 encourages the aggregation of small-scale DERs to participate in wholesale markets effectively. This has led to the development of advanced DER aggregation platforms that can efficiently manage and coordinate a diverse array of distributed resources. These platforms use sophisticated algorithms, real-time data analytics, and smart control systems to optimize DER dispatch and maximize their value in wholesale markets.</w:t>
      </w:r>
    </w:p>
    <w:p w14:paraId="7EFFC074" w14:textId="1CE5869F" w:rsidR="006819E6" w:rsidRPr="00EE3A6E" w:rsidRDefault="002A5024" w:rsidP="00DA6C24">
      <w:pPr>
        <w:pStyle w:val="Heading2"/>
        <w:numPr>
          <w:ilvl w:val="0"/>
          <w:numId w:val="12"/>
        </w:numPr>
        <w:jc w:val="both"/>
        <w:rPr>
          <w:rFonts w:ascii="IBM Plex Sans" w:hAnsi="IBM Plex Sans"/>
          <w:b/>
          <w:bCs/>
          <w:noProof/>
          <w:color w:val="auto"/>
          <w:sz w:val="24"/>
          <w:szCs w:val="24"/>
        </w:rPr>
      </w:pPr>
      <w:r w:rsidRPr="00EE3A6E">
        <w:rPr>
          <w:rFonts w:ascii="IBM Plex Sans" w:hAnsi="IBM Plex Sans"/>
          <w:b/>
          <w:bCs/>
          <w:noProof/>
          <w:color w:val="auto"/>
          <w:sz w:val="24"/>
          <w:szCs w:val="24"/>
        </w:rPr>
        <w:t>Smart Grid and Grid Modernization Technologies</w:t>
      </w:r>
      <w:r w:rsidR="005A51D0" w:rsidRPr="00EE3A6E">
        <w:rPr>
          <w:rFonts w:ascii="IBM Plex Sans" w:hAnsi="IBM Plex Sans"/>
          <w:b/>
          <w:bCs/>
          <w:noProof/>
          <w:color w:val="auto"/>
          <w:sz w:val="24"/>
          <w:szCs w:val="24"/>
        </w:rPr>
        <w:t xml:space="preserve">: </w:t>
      </w:r>
      <w:r w:rsidRPr="00EE3A6E">
        <w:rPr>
          <w:rFonts w:ascii="IBM Plex Sans" w:hAnsi="IBM Plex Sans"/>
          <w:noProof/>
          <w:color w:val="auto"/>
          <w:sz w:val="24"/>
          <w:szCs w:val="24"/>
        </w:rPr>
        <w:t>The integration of DERs into wholesale markets under FERC 2222 requires enhanced grid visibility, control, and management. As a result, utilities have invested in smart grid technologies and grid modernization solutions. Advanced metering systems, sensors, and communication networks enable real-time monitoring of DER performance and grid conditions, facilitating better decision-making and grid stability.</w:t>
      </w:r>
    </w:p>
    <w:p w14:paraId="198D6D7F" w14:textId="7D697D53" w:rsidR="006819E6" w:rsidRPr="00C35E7D" w:rsidRDefault="002A5024" w:rsidP="00143A4D">
      <w:pPr>
        <w:pStyle w:val="Heading2"/>
        <w:numPr>
          <w:ilvl w:val="0"/>
          <w:numId w:val="12"/>
        </w:numPr>
        <w:jc w:val="both"/>
        <w:rPr>
          <w:rFonts w:ascii="IBM Plex Sans" w:hAnsi="IBM Plex Sans"/>
          <w:noProof/>
          <w:color w:val="auto"/>
          <w:sz w:val="24"/>
          <w:szCs w:val="24"/>
        </w:rPr>
      </w:pPr>
      <w:r w:rsidRPr="00C35E7D">
        <w:rPr>
          <w:rFonts w:ascii="IBM Plex Sans" w:hAnsi="IBM Plex Sans"/>
          <w:b/>
          <w:bCs/>
          <w:noProof/>
          <w:color w:val="auto"/>
          <w:sz w:val="24"/>
          <w:szCs w:val="24"/>
        </w:rPr>
        <w:t>Energy Storage Systems</w:t>
      </w:r>
      <w:r w:rsidR="005A51D0" w:rsidRPr="00C35E7D">
        <w:rPr>
          <w:rFonts w:ascii="IBM Plex Sans" w:hAnsi="IBM Plex Sans"/>
          <w:b/>
          <w:bCs/>
          <w:noProof/>
          <w:color w:val="auto"/>
          <w:sz w:val="24"/>
          <w:szCs w:val="24"/>
        </w:rPr>
        <w:t xml:space="preserve">: </w:t>
      </w:r>
      <w:r w:rsidRPr="00C35E7D">
        <w:rPr>
          <w:rFonts w:ascii="IBM Plex Sans" w:hAnsi="IBM Plex Sans"/>
          <w:noProof/>
          <w:color w:val="auto"/>
          <w:sz w:val="24"/>
          <w:szCs w:val="24"/>
        </w:rPr>
        <w:t xml:space="preserve">Energy storage technologies, such as batteries and pumped hydro storage, have gained significance due to FERC 2222's impact on wholesale markets. Utilities and DER owners utilize energy storage to store excess renewable energy generated by DERs and dispatch it during periods of high demand or low generation. This helps to smooth out grid fluctuations and improve overall grid reliability. </w:t>
      </w:r>
      <w:r w:rsidR="00900D25">
        <w:rPr>
          <w:rFonts w:ascii="IBM Plex Sans" w:hAnsi="IBM Plex Sans"/>
          <w:noProof/>
          <w:color w:val="auto"/>
          <w:sz w:val="24"/>
          <w:szCs w:val="24"/>
        </w:rPr>
        <w:t xml:space="preserve"> </w:t>
      </w:r>
    </w:p>
    <w:p w14:paraId="2A126F8A" w14:textId="0D9AD625" w:rsidR="006819E6" w:rsidRDefault="002A5024" w:rsidP="00DA6C24">
      <w:pPr>
        <w:pStyle w:val="Heading2"/>
        <w:numPr>
          <w:ilvl w:val="0"/>
          <w:numId w:val="12"/>
        </w:numPr>
        <w:jc w:val="both"/>
        <w:rPr>
          <w:rFonts w:ascii="IBM Plex Sans" w:hAnsi="IBM Plex Sans"/>
          <w:noProof/>
          <w:color w:val="auto"/>
          <w:sz w:val="24"/>
          <w:szCs w:val="24"/>
        </w:rPr>
      </w:pPr>
      <w:r w:rsidRPr="00EE3A6E">
        <w:rPr>
          <w:rFonts w:ascii="IBM Plex Sans" w:hAnsi="IBM Plex Sans"/>
          <w:b/>
          <w:bCs/>
          <w:noProof/>
          <w:color w:val="auto"/>
          <w:sz w:val="24"/>
          <w:szCs w:val="24"/>
        </w:rPr>
        <w:t xml:space="preserve"> Distributed Energy Management Systems (DERMS)</w:t>
      </w:r>
      <w:r w:rsidR="005A51D0" w:rsidRPr="00EE3A6E">
        <w:rPr>
          <w:rFonts w:ascii="IBM Plex Sans" w:hAnsi="IBM Plex Sans"/>
          <w:b/>
          <w:bCs/>
          <w:noProof/>
          <w:color w:val="auto"/>
          <w:sz w:val="24"/>
          <w:szCs w:val="24"/>
        </w:rPr>
        <w:t xml:space="preserve">: </w:t>
      </w:r>
      <w:r w:rsidRPr="00EE3A6E">
        <w:rPr>
          <w:rFonts w:ascii="IBM Plex Sans" w:hAnsi="IBM Plex Sans"/>
          <w:noProof/>
          <w:color w:val="auto"/>
          <w:sz w:val="24"/>
          <w:szCs w:val="24"/>
        </w:rPr>
        <w:t>DERMS have emerged as critical tools to optimize the integration of DERs under FERC 2222. These systems enable utilities to monitor and control distributed resources in real-time, ensuring efficient DER dispatch, grid stability, and seamless coordination between centralized and decentralized assets.</w:t>
      </w:r>
      <w:r w:rsidR="00900D25">
        <w:rPr>
          <w:rFonts w:ascii="IBM Plex Sans" w:hAnsi="IBM Plex Sans"/>
          <w:noProof/>
          <w:color w:val="auto"/>
          <w:sz w:val="24"/>
          <w:szCs w:val="24"/>
        </w:rPr>
        <w:t xml:space="preserve"> </w:t>
      </w:r>
    </w:p>
    <w:p w14:paraId="4C83ACD7" w14:textId="77777777" w:rsidR="00900D25" w:rsidRPr="00900D25" w:rsidRDefault="00900D25" w:rsidP="00900D25"/>
    <w:p w14:paraId="010BC3D3" w14:textId="518DA69A" w:rsidR="006819E6" w:rsidRPr="00EE3A6E" w:rsidRDefault="002A5024" w:rsidP="00DA6C24">
      <w:pPr>
        <w:pStyle w:val="Heading2"/>
        <w:numPr>
          <w:ilvl w:val="0"/>
          <w:numId w:val="12"/>
        </w:numPr>
        <w:jc w:val="both"/>
        <w:rPr>
          <w:rFonts w:ascii="IBM Plex Sans" w:hAnsi="IBM Plex Sans"/>
          <w:noProof/>
          <w:color w:val="auto"/>
          <w:sz w:val="24"/>
          <w:szCs w:val="24"/>
        </w:rPr>
      </w:pPr>
      <w:r w:rsidRPr="00EE3A6E">
        <w:rPr>
          <w:rFonts w:ascii="IBM Plex Sans" w:hAnsi="IBM Plex Sans"/>
          <w:b/>
          <w:bCs/>
          <w:noProof/>
          <w:color w:val="auto"/>
          <w:sz w:val="24"/>
          <w:szCs w:val="24"/>
        </w:rPr>
        <w:lastRenderedPageBreak/>
        <w:t>Demand Response Technologies</w:t>
      </w:r>
      <w:r w:rsidR="005A51D0" w:rsidRPr="00EE3A6E">
        <w:rPr>
          <w:rFonts w:ascii="IBM Plex Sans" w:hAnsi="IBM Plex Sans"/>
          <w:noProof/>
          <w:color w:val="auto"/>
          <w:sz w:val="24"/>
          <w:szCs w:val="24"/>
        </w:rPr>
        <w:t xml:space="preserve">: </w:t>
      </w:r>
      <w:r w:rsidRPr="00EE3A6E">
        <w:rPr>
          <w:rFonts w:ascii="IBM Plex Sans" w:hAnsi="IBM Plex Sans"/>
          <w:noProof/>
          <w:color w:val="auto"/>
          <w:sz w:val="24"/>
          <w:szCs w:val="24"/>
        </w:rPr>
        <w:t>FERC 2222 encourages the use of demand response programs through aggregated DERs to support grid balancing and peak demand management. This has led to the development of advanced demand response technologies that allow utilities and consumers to participate actively in demand response events and contribute to grid stability.</w:t>
      </w:r>
    </w:p>
    <w:p w14:paraId="1A5B94FC" w14:textId="3A6A3E44" w:rsidR="006819E6" w:rsidRPr="00EE3A6E" w:rsidRDefault="002A5024" w:rsidP="00DA6C24">
      <w:pPr>
        <w:pStyle w:val="Heading2"/>
        <w:numPr>
          <w:ilvl w:val="0"/>
          <w:numId w:val="12"/>
        </w:numPr>
        <w:jc w:val="both"/>
        <w:rPr>
          <w:rFonts w:ascii="IBM Plex Sans" w:hAnsi="IBM Plex Sans"/>
          <w:noProof/>
          <w:color w:val="auto"/>
          <w:sz w:val="24"/>
          <w:szCs w:val="24"/>
        </w:rPr>
      </w:pPr>
      <w:r w:rsidRPr="00EE3A6E">
        <w:rPr>
          <w:rFonts w:ascii="IBM Plex Sans" w:hAnsi="IBM Plex Sans"/>
          <w:b/>
          <w:bCs/>
          <w:noProof/>
          <w:color w:val="auto"/>
          <w:sz w:val="24"/>
          <w:szCs w:val="24"/>
        </w:rPr>
        <w:t>Digital Platforms and Market Solutions</w:t>
      </w:r>
      <w:r w:rsidR="005A51D0" w:rsidRPr="00EE3A6E">
        <w:rPr>
          <w:rFonts w:ascii="IBM Plex Sans" w:hAnsi="IBM Plex Sans"/>
          <w:noProof/>
          <w:color w:val="auto"/>
          <w:sz w:val="24"/>
          <w:szCs w:val="24"/>
        </w:rPr>
        <w:t xml:space="preserve">: </w:t>
      </w:r>
      <w:r w:rsidRPr="00EE3A6E">
        <w:rPr>
          <w:rFonts w:ascii="IBM Plex Sans" w:hAnsi="IBM Plex Sans"/>
          <w:noProof/>
          <w:color w:val="auto"/>
          <w:sz w:val="24"/>
          <w:szCs w:val="24"/>
        </w:rPr>
        <w:t>To facilitate DER participation in wholesale markets, digital platforms and market solutions have emerged. These platforms enable transparent and efficient transactions between DER aggregators and grid operators. They also provide tools for pricing, forecasting, and settlement processes to ensure fair compensation for DER services.</w:t>
      </w:r>
    </w:p>
    <w:p w14:paraId="1CEA3AD9" w14:textId="1D963237" w:rsidR="007705C0" w:rsidRPr="00EE3A6E" w:rsidRDefault="002A5024" w:rsidP="00DA6C24">
      <w:pPr>
        <w:pStyle w:val="Heading2"/>
        <w:numPr>
          <w:ilvl w:val="0"/>
          <w:numId w:val="12"/>
        </w:numPr>
        <w:jc w:val="both"/>
        <w:rPr>
          <w:rFonts w:ascii="IBM Plex Sans" w:hAnsi="IBM Plex Sans"/>
          <w:noProof/>
          <w:color w:val="auto"/>
          <w:sz w:val="24"/>
          <w:szCs w:val="24"/>
        </w:rPr>
      </w:pPr>
      <w:r w:rsidRPr="00EE3A6E">
        <w:rPr>
          <w:rFonts w:ascii="IBM Plex Sans" w:hAnsi="IBM Plex Sans"/>
          <w:b/>
          <w:bCs/>
          <w:noProof/>
          <w:color w:val="auto"/>
          <w:sz w:val="24"/>
          <w:szCs w:val="24"/>
        </w:rPr>
        <w:t>Virtual Power Plants (VPPs)</w:t>
      </w:r>
      <w:r w:rsidR="005A51D0" w:rsidRPr="00EE3A6E">
        <w:rPr>
          <w:rFonts w:ascii="IBM Plex Sans" w:hAnsi="IBM Plex Sans"/>
          <w:noProof/>
          <w:color w:val="auto"/>
          <w:sz w:val="24"/>
          <w:szCs w:val="24"/>
        </w:rPr>
        <w:t xml:space="preserve">: </w:t>
      </w:r>
      <w:r w:rsidRPr="00EE3A6E">
        <w:rPr>
          <w:rFonts w:ascii="IBM Plex Sans" w:hAnsi="IBM Plex Sans"/>
          <w:noProof/>
          <w:color w:val="auto"/>
          <w:sz w:val="24"/>
          <w:szCs w:val="24"/>
        </w:rPr>
        <w:t>Under FERC 2222, the concept of Virtual Power Plants has gained momentum. VPPs leverage DER aggregation and advanced control systems to act as a single, coordinated entity in the wholesale market. VPPs can respond dynamically to market signals and grid conditions, optimizing DER dispatch for grid services and revenue maximization.</w:t>
      </w:r>
    </w:p>
    <w:p w14:paraId="5B35C3E1" w14:textId="28A8E19D" w:rsidR="002A5024" w:rsidRPr="00EE3A6E" w:rsidRDefault="002A5024" w:rsidP="00DA6C24">
      <w:pPr>
        <w:pStyle w:val="Heading2"/>
        <w:numPr>
          <w:ilvl w:val="0"/>
          <w:numId w:val="12"/>
        </w:numPr>
        <w:jc w:val="both"/>
        <w:rPr>
          <w:rFonts w:ascii="IBM Plex Sans" w:hAnsi="IBM Plex Sans"/>
          <w:noProof/>
          <w:color w:val="auto"/>
          <w:sz w:val="24"/>
          <w:szCs w:val="24"/>
        </w:rPr>
      </w:pPr>
      <w:r w:rsidRPr="00EE3A6E">
        <w:rPr>
          <w:rFonts w:ascii="IBM Plex Sans" w:hAnsi="IBM Plex Sans"/>
          <w:b/>
          <w:bCs/>
          <w:noProof/>
          <w:color w:val="auto"/>
          <w:sz w:val="24"/>
          <w:szCs w:val="24"/>
        </w:rPr>
        <w:t>Blockchain and Decentralized Energy Markets</w:t>
      </w:r>
      <w:r w:rsidR="005A51D0" w:rsidRPr="00EE3A6E">
        <w:rPr>
          <w:rFonts w:ascii="IBM Plex Sans" w:hAnsi="IBM Plex Sans"/>
          <w:noProof/>
          <w:color w:val="auto"/>
          <w:sz w:val="24"/>
          <w:szCs w:val="24"/>
        </w:rPr>
        <w:t xml:space="preserve">: </w:t>
      </w:r>
      <w:r w:rsidRPr="00EE3A6E">
        <w:rPr>
          <w:rFonts w:ascii="IBM Plex Sans" w:hAnsi="IBM Plex Sans"/>
          <w:noProof/>
          <w:color w:val="auto"/>
          <w:sz w:val="24"/>
          <w:szCs w:val="24"/>
        </w:rPr>
        <w:t>FERC 2222's emphasis on DER participation has stimulated interest in blockchain technology and decentralized energy markets. Blockchain can facilitate secure, transparent, and peer-to-peer transactions between DER owners and market participants, enabling more decentralized and autonomous energy transactions.</w:t>
      </w:r>
    </w:p>
    <w:p w14:paraId="4F585ACF" w14:textId="77777777" w:rsidR="007705C0" w:rsidRPr="00EE3A6E" w:rsidRDefault="007705C0" w:rsidP="00DA6C24">
      <w:pPr>
        <w:pStyle w:val="Heading2"/>
        <w:jc w:val="both"/>
        <w:rPr>
          <w:rFonts w:ascii="IBM Plex Sans" w:hAnsi="IBM Plex Sans"/>
          <w:noProof/>
          <w:color w:val="auto"/>
          <w:sz w:val="24"/>
          <w:szCs w:val="24"/>
        </w:rPr>
      </w:pPr>
    </w:p>
    <w:p w14:paraId="38A88414" w14:textId="4FDD0DA8" w:rsidR="002A5024" w:rsidRPr="00EE3A6E" w:rsidRDefault="002A5024" w:rsidP="00DA6C24">
      <w:pPr>
        <w:pStyle w:val="Heading2"/>
        <w:jc w:val="both"/>
        <w:rPr>
          <w:rFonts w:ascii="IBM Plex Sans" w:hAnsi="IBM Plex Sans"/>
          <w:noProof/>
          <w:color w:val="auto"/>
          <w:sz w:val="24"/>
          <w:szCs w:val="24"/>
        </w:rPr>
      </w:pPr>
      <w:r w:rsidRPr="00EE3A6E">
        <w:rPr>
          <w:rFonts w:ascii="IBM Plex Sans" w:hAnsi="IBM Plex Sans"/>
          <w:noProof/>
          <w:color w:val="auto"/>
          <w:sz w:val="24"/>
          <w:szCs w:val="24"/>
        </w:rPr>
        <w:t>FERC 2222 has accelerated the adoption of advanced technologies and innovations in the energy sector. These advancements have not only facilitated the integration of DERs into wholesale markets but also laid the foundation for a more flexible, resilient, and sustainable energy system. As the energy landscape continues to evolve, ongoing technology developments will play a crucial role in optimizing DER participation and enhancing overall grid efficiency.</w:t>
      </w:r>
    </w:p>
    <w:p w14:paraId="0BA8B24E" w14:textId="652F255F" w:rsidR="000B77BC" w:rsidRPr="00EE3A6E" w:rsidRDefault="000B77BC" w:rsidP="007E476D">
      <w:pPr>
        <w:pStyle w:val="Heading2"/>
        <w:rPr>
          <w:rFonts w:ascii="IBM Plex Sans" w:hAnsi="IBM Plex Sans"/>
          <w:noProof/>
          <w:sz w:val="24"/>
          <w:szCs w:val="24"/>
        </w:rPr>
      </w:pPr>
    </w:p>
    <w:p w14:paraId="77DA9F21" w14:textId="77777777" w:rsidR="00432DB9" w:rsidRPr="00EE3A6E" w:rsidRDefault="00432DB9">
      <w:pPr>
        <w:rPr>
          <w:rFonts w:ascii="IBM Plex Sans" w:eastAsiaTheme="majorEastAsia" w:hAnsi="IBM Plex Sans" w:cs="Segoe UI"/>
          <w:b/>
          <w:bCs/>
          <w:caps/>
          <w:color w:val="2F5496" w:themeColor="accent1" w:themeShade="BF"/>
          <w:sz w:val="28"/>
          <w:szCs w:val="28"/>
        </w:rPr>
      </w:pPr>
      <w:r w:rsidRPr="00EE3A6E">
        <w:rPr>
          <w:rFonts w:ascii="IBM Plex Sans" w:hAnsi="IBM Plex Sans"/>
          <w:b/>
          <w:bCs/>
          <w:sz w:val="28"/>
          <w:szCs w:val="28"/>
        </w:rPr>
        <w:br w:type="page"/>
      </w:r>
    </w:p>
    <w:p w14:paraId="53717761" w14:textId="6C18EB75" w:rsidR="00FE2A5B" w:rsidRPr="0051605C" w:rsidRDefault="00FE2A5B" w:rsidP="00432DB9">
      <w:pPr>
        <w:pStyle w:val="Heading1"/>
        <w:rPr>
          <w:rFonts w:ascii="IBM Plex Sans" w:hAnsi="IBM Plex Sans"/>
          <w:color w:val="0070C0"/>
          <w:sz w:val="32"/>
          <w:szCs w:val="32"/>
        </w:rPr>
      </w:pPr>
      <w:r w:rsidRPr="0051605C">
        <w:rPr>
          <w:rFonts w:ascii="IBM Plex Sans" w:hAnsi="IBM Plex Sans"/>
          <w:color w:val="0070C0"/>
          <w:sz w:val="32"/>
          <w:szCs w:val="32"/>
        </w:rPr>
        <w:lastRenderedPageBreak/>
        <w:t>Case Study</w:t>
      </w:r>
      <w:r w:rsidR="00D64EC6" w:rsidRPr="0051605C">
        <w:rPr>
          <w:rFonts w:ascii="IBM Plex Sans" w:hAnsi="IBM Plex Sans"/>
          <w:color w:val="0070C0"/>
          <w:sz w:val="32"/>
          <w:szCs w:val="32"/>
        </w:rPr>
        <w:t xml:space="preserve"> </w:t>
      </w:r>
      <w:r w:rsidR="008B6F7B" w:rsidRPr="0051605C">
        <w:rPr>
          <w:rFonts w:ascii="IBM Plex Sans" w:hAnsi="IBM Plex Sans"/>
          <w:color w:val="0070C0"/>
          <w:sz w:val="32"/>
          <w:szCs w:val="32"/>
        </w:rPr>
        <w:t xml:space="preserve">- </w:t>
      </w:r>
      <w:r w:rsidR="003E0995" w:rsidRPr="0051605C">
        <w:rPr>
          <w:rFonts w:ascii="IBM Plex Sans" w:hAnsi="IBM Plex Sans"/>
          <w:color w:val="0070C0"/>
          <w:sz w:val="32"/>
          <w:szCs w:val="32"/>
        </w:rPr>
        <w:t>A</w:t>
      </w:r>
      <w:r w:rsidR="008B6F7B" w:rsidRPr="0051605C">
        <w:rPr>
          <w:rFonts w:ascii="IBM Plex Sans" w:hAnsi="IBM Plex Sans"/>
          <w:color w:val="0070C0"/>
          <w:sz w:val="32"/>
          <w:szCs w:val="32"/>
        </w:rPr>
        <w:t xml:space="preserve"> Utility Perspective </w:t>
      </w:r>
    </w:p>
    <w:p w14:paraId="1362E17C" w14:textId="08075EDA" w:rsidR="002A5024" w:rsidRPr="00EE3A6E" w:rsidRDefault="002A5024" w:rsidP="001C1719">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This case study examines the experience of a regional utility company serving a diverse customer base, as it implemented FERC Order 2222 to facilitate the integration of Distributed Energy Resources (DERs) into wholesale markets. The study explores </w:t>
      </w:r>
      <w:r w:rsidR="005A51D0" w:rsidRPr="00EE3A6E">
        <w:rPr>
          <w:rFonts w:ascii="IBM Plex Sans" w:eastAsiaTheme="majorEastAsia" w:hAnsi="IBM Plex Sans" w:cstheme="majorBidi"/>
          <w:noProof/>
          <w:sz w:val="24"/>
          <w:szCs w:val="24"/>
        </w:rPr>
        <w:t>the utility’s</w:t>
      </w:r>
      <w:r w:rsidRPr="00EE3A6E">
        <w:rPr>
          <w:rFonts w:ascii="IBM Plex Sans" w:eastAsiaTheme="majorEastAsia" w:hAnsi="IBM Plex Sans" w:cstheme="majorBidi"/>
          <w:noProof/>
          <w:sz w:val="24"/>
          <w:szCs w:val="24"/>
        </w:rPr>
        <w:t xml:space="preserve"> journey, challenges, and </w:t>
      </w:r>
      <w:r w:rsidR="005A51D0" w:rsidRPr="00EE3A6E">
        <w:rPr>
          <w:rFonts w:ascii="IBM Plex Sans" w:eastAsiaTheme="majorEastAsia" w:hAnsi="IBM Plex Sans" w:cstheme="majorBidi"/>
          <w:noProof/>
          <w:sz w:val="24"/>
          <w:szCs w:val="24"/>
        </w:rPr>
        <w:t xml:space="preserve">outcomes </w:t>
      </w:r>
      <w:r w:rsidR="00967903" w:rsidRPr="00EE3A6E">
        <w:rPr>
          <w:rFonts w:ascii="IBM Plex Sans" w:eastAsiaTheme="majorEastAsia" w:hAnsi="IBM Plex Sans" w:cstheme="majorBidi"/>
          <w:noProof/>
          <w:sz w:val="24"/>
          <w:szCs w:val="24"/>
        </w:rPr>
        <w:t>realized</w:t>
      </w:r>
      <w:r w:rsidRPr="00EE3A6E">
        <w:rPr>
          <w:rFonts w:ascii="IBM Plex Sans" w:eastAsiaTheme="majorEastAsia" w:hAnsi="IBM Plex Sans" w:cstheme="majorBidi"/>
          <w:noProof/>
          <w:sz w:val="24"/>
          <w:szCs w:val="24"/>
        </w:rPr>
        <w:t xml:space="preserve"> during the implementation process.</w:t>
      </w:r>
    </w:p>
    <w:p w14:paraId="53710B37" w14:textId="7257B4C3" w:rsidR="002A5024" w:rsidRPr="00EE3A6E" w:rsidRDefault="002A5024" w:rsidP="001C1719">
      <w:p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Background</w:t>
      </w:r>
    </w:p>
    <w:p w14:paraId="32C82D86" w14:textId="7B4572CC" w:rsidR="002A5024" w:rsidRPr="00EE3A6E" w:rsidRDefault="0021022B" w:rsidP="001C1719">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The</w:t>
      </w:r>
      <w:r w:rsidR="002A5024" w:rsidRPr="00EE3A6E">
        <w:rPr>
          <w:rFonts w:ascii="IBM Plex Sans" w:eastAsiaTheme="majorEastAsia" w:hAnsi="IBM Plex Sans" w:cstheme="majorBidi"/>
          <w:noProof/>
          <w:sz w:val="24"/>
          <w:szCs w:val="24"/>
        </w:rPr>
        <w:t xml:space="preserve"> Utility operates in a region with a significant potential for renewable energy resources, including solar and energy storage. As the energy landscape shifted towards a more decentralized model, </w:t>
      </w:r>
      <w:r w:rsidR="00BC0991" w:rsidRPr="00EE3A6E">
        <w:rPr>
          <w:rFonts w:ascii="IBM Plex Sans" w:eastAsiaTheme="majorEastAsia" w:hAnsi="IBM Plex Sans" w:cstheme="majorBidi"/>
          <w:noProof/>
          <w:sz w:val="24"/>
          <w:szCs w:val="24"/>
        </w:rPr>
        <w:t xml:space="preserve">the </w:t>
      </w:r>
      <w:r w:rsidR="002A5024" w:rsidRPr="00EE3A6E">
        <w:rPr>
          <w:rFonts w:ascii="IBM Plex Sans" w:eastAsiaTheme="majorEastAsia" w:hAnsi="IBM Plex Sans" w:cstheme="majorBidi"/>
          <w:noProof/>
          <w:sz w:val="24"/>
          <w:szCs w:val="24"/>
        </w:rPr>
        <w:t>Utility recognized the need to adapt its business practices and embrace the growing presence of DERs.</w:t>
      </w:r>
    </w:p>
    <w:p w14:paraId="064A168A" w14:textId="476FD784" w:rsidR="00EC63A7" w:rsidRPr="00EE3A6E" w:rsidRDefault="002A5024" w:rsidP="001C1719">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Before the introduction of FERC 2222, </w:t>
      </w:r>
      <w:r w:rsidR="00831592" w:rsidRPr="00EE3A6E">
        <w:rPr>
          <w:rFonts w:ascii="IBM Plex Sans" w:eastAsiaTheme="majorEastAsia" w:hAnsi="IBM Plex Sans" w:cstheme="majorBidi"/>
          <w:noProof/>
          <w:sz w:val="24"/>
          <w:szCs w:val="24"/>
        </w:rPr>
        <w:t xml:space="preserve">the </w:t>
      </w:r>
      <w:r w:rsidRPr="00EE3A6E">
        <w:rPr>
          <w:rFonts w:ascii="IBM Plex Sans" w:eastAsiaTheme="majorEastAsia" w:hAnsi="IBM Plex Sans" w:cstheme="majorBidi"/>
          <w:noProof/>
          <w:sz w:val="24"/>
          <w:szCs w:val="24"/>
        </w:rPr>
        <w:t xml:space="preserve">Utility primarily relied on traditional centralized power generation and had limited experience with DER participation in wholesale markets. The </w:t>
      </w:r>
      <w:r w:rsidR="00831592" w:rsidRPr="00EE3A6E">
        <w:rPr>
          <w:rFonts w:ascii="IBM Plex Sans" w:eastAsiaTheme="majorEastAsia" w:hAnsi="IBM Plex Sans" w:cstheme="majorBidi"/>
          <w:noProof/>
          <w:sz w:val="24"/>
          <w:szCs w:val="24"/>
        </w:rPr>
        <w:t>U</w:t>
      </w:r>
      <w:r w:rsidRPr="00EE3A6E">
        <w:rPr>
          <w:rFonts w:ascii="IBM Plex Sans" w:eastAsiaTheme="majorEastAsia" w:hAnsi="IBM Plex Sans" w:cstheme="majorBidi"/>
          <w:noProof/>
          <w:sz w:val="24"/>
          <w:szCs w:val="24"/>
        </w:rPr>
        <w:t>tility's business model focused on providing reliable electricity to its customers through centralized generation and distribution.</w:t>
      </w:r>
    </w:p>
    <w:p w14:paraId="211F23A8" w14:textId="41A95477" w:rsidR="00C63F58" w:rsidRPr="00EE3A6E" w:rsidRDefault="008C5BAB" w:rsidP="001C1719">
      <w:pPr>
        <w:jc w:val="both"/>
        <w:rPr>
          <w:rFonts w:ascii="IBM Plex Sans" w:eastAsiaTheme="majorEastAsia" w:hAnsi="IBM Plex Sans" w:cstheme="majorBidi"/>
          <w:b/>
          <w:bCs/>
          <w:noProof/>
          <w:color w:val="0070C0"/>
          <w:sz w:val="24"/>
          <w:szCs w:val="24"/>
        </w:rPr>
      </w:pPr>
      <w:r>
        <w:rPr>
          <w:rFonts w:ascii="IBM Plex Sans" w:eastAsiaTheme="majorEastAsia" w:hAnsi="IBM Plex Sans" w:cstheme="majorBidi"/>
          <w:b/>
          <w:bCs/>
          <w:noProof/>
          <w:color w:val="0070C0"/>
          <w:sz w:val="24"/>
          <w:szCs w:val="24"/>
        </w:rPr>
        <w:drawing>
          <wp:inline distT="0" distB="0" distL="0" distR="0" wp14:anchorId="4CCA548B" wp14:editId="1E54BAC5">
            <wp:extent cx="5995918" cy="1782829"/>
            <wp:effectExtent l="0" t="0" r="508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29748" cy="1792888"/>
                    </a:xfrm>
                    <a:prstGeom prst="rect">
                      <a:avLst/>
                    </a:prstGeom>
                    <a:noFill/>
                  </pic:spPr>
                </pic:pic>
              </a:graphicData>
            </a:graphic>
          </wp:inline>
        </w:drawing>
      </w:r>
    </w:p>
    <w:p w14:paraId="30578657" w14:textId="030C2822" w:rsidR="00033E82" w:rsidRDefault="00136D38" w:rsidP="009C73E6">
      <w:pPr>
        <w:jc w:val="center"/>
        <w:rPr>
          <w:rFonts w:ascii="IBM Plex Sans" w:eastAsiaTheme="majorEastAsia" w:hAnsi="IBM Plex Sans" w:cstheme="majorBidi"/>
          <w:b/>
          <w:bCs/>
          <w:noProof/>
          <w:color w:val="7F7F7F" w:themeColor="text1" w:themeTint="80"/>
          <w:sz w:val="20"/>
          <w:szCs w:val="20"/>
        </w:rPr>
      </w:pPr>
      <w:r>
        <w:rPr>
          <w:rFonts w:ascii="IBM Plex Sans" w:eastAsiaTheme="majorEastAsia" w:hAnsi="IBM Plex Sans" w:cstheme="majorBidi"/>
          <w:b/>
          <w:bCs/>
          <w:noProof/>
          <w:color w:val="7F7F7F" w:themeColor="text1" w:themeTint="80"/>
          <w:sz w:val="20"/>
          <w:szCs w:val="20"/>
        </w:rPr>
        <w:t xml:space="preserve">FERC 2222 </w:t>
      </w:r>
      <w:r w:rsidR="00B86FDC" w:rsidRPr="00B74284">
        <w:rPr>
          <w:rFonts w:ascii="IBM Plex Sans" w:eastAsiaTheme="majorEastAsia" w:hAnsi="IBM Plex Sans" w:cstheme="majorBidi"/>
          <w:b/>
          <w:bCs/>
          <w:noProof/>
          <w:color w:val="7F7F7F" w:themeColor="text1" w:themeTint="80"/>
          <w:sz w:val="20"/>
          <w:szCs w:val="20"/>
        </w:rPr>
        <w:t>Business Value Chain</w:t>
      </w:r>
      <w:r w:rsidR="00433C7D">
        <w:rPr>
          <w:rFonts w:ascii="IBM Plex Sans" w:eastAsiaTheme="majorEastAsia" w:hAnsi="IBM Plex Sans" w:cstheme="majorBidi"/>
          <w:b/>
          <w:bCs/>
          <w:noProof/>
          <w:color w:val="7F7F7F" w:themeColor="text1" w:themeTint="80"/>
          <w:sz w:val="20"/>
          <w:szCs w:val="20"/>
        </w:rPr>
        <w:t xml:space="preserve"> and </w:t>
      </w:r>
      <w:r w:rsidR="004414A7">
        <w:rPr>
          <w:rFonts w:ascii="IBM Plex Sans" w:eastAsiaTheme="majorEastAsia" w:hAnsi="IBM Plex Sans" w:cstheme="majorBidi"/>
          <w:b/>
          <w:bCs/>
          <w:noProof/>
          <w:color w:val="7F7F7F" w:themeColor="text1" w:themeTint="80"/>
          <w:sz w:val="20"/>
          <w:szCs w:val="20"/>
        </w:rPr>
        <w:t>K</w:t>
      </w:r>
      <w:r w:rsidR="00433C7D">
        <w:rPr>
          <w:rFonts w:ascii="IBM Plex Sans" w:eastAsiaTheme="majorEastAsia" w:hAnsi="IBM Plex Sans" w:cstheme="majorBidi"/>
          <w:b/>
          <w:bCs/>
          <w:noProof/>
          <w:color w:val="7F7F7F" w:themeColor="text1" w:themeTint="80"/>
          <w:sz w:val="20"/>
          <w:szCs w:val="20"/>
        </w:rPr>
        <w:t>ey sta</w:t>
      </w:r>
      <w:r w:rsidR="004414A7">
        <w:rPr>
          <w:rFonts w:ascii="IBM Plex Sans" w:eastAsiaTheme="majorEastAsia" w:hAnsi="IBM Plex Sans" w:cstheme="majorBidi"/>
          <w:b/>
          <w:bCs/>
          <w:noProof/>
          <w:color w:val="7F7F7F" w:themeColor="text1" w:themeTint="80"/>
          <w:sz w:val="20"/>
          <w:szCs w:val="20"/>
        </w:rPr>
        <w:t>k</w:t>
      </w:r>
      <w:r w:rsidR="00433C7D">
        <w:rPr>
          <w:rFonts w:ascii="IBM Plex Sans" w:eastAsiaTheme="majorEastAsia" w:hAnsi="IBM Plex Sans" w:cstheme="majorBidi"/>
          <w:b/>
          <w:bCs/>
          <w:noProof/>
          <w:color w:val="7F7F7F" w:themeColor="text1" w:themeTint="80"/>
          <w:sz w:val="20"/>
          <w:szCs w:val="20"/>
        </w:rPr>
        <w:t>eholders</w:t>
      </w:r>
      <w:r>
        <w:rPr>
          <w:rFonts w:ascii="IBM Plex Sans" w:eastAsiaTheme="majorEastAsia" w:hAnsi="IBM Plex Sans" w:cstheme="majorBidi"/>
          <w:b/>
          <w:bCs/>
          <w:noProof/>
          <w:color w:val="7F7F7F" w:themeColor="text1" w:themeTint="80"/>
          <w:sz w:val="20"/>
          <w:szCs w:val="20"/>
        </w:rPr>
        <w:t xml:space="preserve"> from an Utility Perspective</w:t>
      </w:r>
    </w:p>
    <w:p w14:paraId="1FAF68E6" w14:textId="77777777" w:rsidR="00B74284" w:rsidRPr="00B74284" w:rsidRDefault="00B74284" w:rsidP="009C73E6">
      <w:pPr>
        <w:jc w:val="center"/>
        <w:rPr>
          <w:rFonts w:ascii="IBM Plex Sans" w:eastAsiaTheme="majorEastAsia" w:hAnsi="IBM Plex Sans" w:cstheme="majorBidi"/>
          <w:b/>
          <w:bCs/>
          <w:noProof/>
          <w:color w:val="7F7F7F" w:themeColor="text1" w:themeTint="80"/>
          <w:sz w:val="20"/>
          <w:szCs w:val="20"/>
        </w:rPr>
      </w:pPr>
    </w:p>
    <w:p w14:paraId="7779D977" w14:textId="77777777" w:rsidR="005A51D0" w:rsidRPr="00EE3A6E" w:rsidRDefault="002A5024" w:rsidP="001C1719">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Regulatory and Policy Compliance</w:t>
      </w:r>
    </w:p>
    <w:p w14:paraId="57207E12" w14:textId="41410BCC" w:rsidR="002A5024" w:rsidRPr="00EE3A6E" w:rsidRDefault="002A5024" w:rsidP="001C1719">
      <w:pPr>
        <w:pStyle w:val="ListParagraph"/>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noProof/>
          <w:sz w:val="24"/>
          <w:szCs w:val="24"/>
        </w:rPr>
        <w:t>Utility began the implementation process by studying FERC Order 2222 thoroughly and seeking guidance from regulatory bodies to ensure full compliance with the order's provisions. The utility established a dedicated team responsible for overseeing the implementation and fostering collaboration between different internal departments.</w:t>
      </w:r>
    </w:p>
    <w:p w14:paraId="41F78CFA" w14:textId="77777777" w:rsidR="005A51D0" w:rsidRPr="00EE3A6E" w:rsidRDefault="002A5024" w:rsidP="001C1719">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Grid Modernization</w:t>
      </w:r>
    </w:p>
    <w:p w14:paraId="25F28656" w14:textId="39746947" w:rsidR="002A5024" w:rsidRPr="00EE3A6E" w:rsidRDefault="002A5024" w:rsidP="001C1719">
      <w:pPr>
        <w:pStyle w:val="ListParagraph"/>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noProof/>
          <w:sz w:val="24"/>
          <w:szCs w:val="24"/>
        </w:rPr>
        <w:t xml:space="preserve">To accommodate the integration of DERs, Utility initiated a grid modernization effort. It invested in advanced metering and monitoring technologies to enhance grid visibility and forecasting capabilities. Additionally, the utility upgraded its </w:t>
      </w:r>
      <w:r w:rsidRPr="00EE3A6E">
        <w:rPr>
          <w:rFonts w:ascii="IBM Plex Sans" w:eastAsiaTheme="majorEastAsia" w:hAnsi="IBM Plex Sans" w:cstheme="majorBidi"/>
          <w:noProof/>
          <w:sz w:val="24"/>
          <w:szCs w:val="24"/>
        </w:rPr>
        <w:lastRenderedPageBreak/>
        <w:t>control systems to manage the increased variability and uncertainty associated with DERs.</w:t>
      </w:r>
    </w:p>
    <w:p w14:paraId="384E2B33" w14:textId="77777777" w:rsidR="005A51D0" w:rsidRPr="00EE3A6E" w:rsidRDefault="002A5024" w:rsidP="001C1719">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DER Aggregation and Communication</w:t>
      </w:r>
    </w:p>
    <w:p w14:paraId="130B2D44" w14:textId="16CC57BA" w:rsidR="002A5024" w:rsidRPr="00EE3A6E" w:rsidRDefault="002A5024" w:rsidP="001C1719">
      <w:pPr>
        <w:pStyle w:val="ListParagraph"/>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noProof/>
          <w:sz w:val="24"/>
          <w:szCs w:val="24"/>
        </w:rPr>
        <w:t>Utility worked closely with DER owners and aggregators to facilitate their participation in wholesale markets. The utility streamlined communication channels, established clear guidelines, and provided necessary resources to support the aggregation process.</w:t>
      </w:r>
    </w:p>
    <w:p w14:paraId="6F394E3F" w14:textId="77777777" w:rsidR="00B81C9E" w:rsidRPr="00EE3A6E" w:rsidRDefault="001E2689" w:rsidP="001C1719">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ISO/RTO Colloboration</w:t>
      </w:r>
    </w:p>
    <w:p w14:paraId="2B5789E1" w14:textId="65E2ADA0" w:rsidR="00BA7C45" w:rsidRDefault="00E0235B" w:rsidP="000A6F43">
      <w:pPr>
        <w:pStyle w:val="ListParagraph"/>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noProof/>
          <w:sz w:val="24"/>
          <w:szCs w:val="24"/>
        </w:rPr>
        <w:t xml:space="preserve">Even though </w:t>
      </w:r>
      <w:r w:rsidR="00E51829" w:rsidRPr="00EE3A6E">
        <w:rPr>
          <w:rFonts w:ascii="IBM Plex Sans" w:eastAsiaTheme="majorEastAsia" w:hAnsi="IBM Plex Sans" w:cstheme="majorBidi"/>
          <w:noProof/>
          <w:sz w:val="24"/>
          <w:szCs w:val="24"/>
        </w:rPr>
        <w:t>Utility</w:t>
      </w:r>
      <w:r w:rsidRPr="00EE3A6E">
        <w:rPr>
          <w:rFonts w:ascii="IBM Plex Sans" w:eastAsiaTheme="majorEastAsia" w:hAnsi="IBM Plex Sans" w:cstheme="majorBidi"/>
          <w:noProof/>
          <w:sz w:val="24"/>
          <w:szCs w:val="24"/>
        </w:rPr>
        <w:t xml:space="preserve"> plays a crticial role for the success of the FERC 2222 , the key </w:t>
      </w:r>
      <w:r w:rsidR="00E0793F" w:rsidRPr="00EE3A6E">
        <w:rPr>
          <w:rFonts w:ascii="IBM Plex Sans" w:eastAsiaTheme="majorEastAsia" w:hAnsi="IBM Plex Sans" w:cstheme="majorBidi"/>
          <w:noProof/>
          <w:sz w:val="24"/>
          <w:szCs w:val="24"/>
        </w:rPr>
        <w:t>stakeholder</w:t>
      </w:r>
      <w:r w:rsidRPr="00EE3A6E">
        <w:rPr>
          <w:rFonts w:ascii="IBM Plex Sans" w:eastAsiaTheme="majorEastAsia" w:hAnsi="IBM Plex Sans" w:cstheme="majorBidi"/>
          <w:noProof/>
          <w:sz w:val="24"/>
          <w:szCs w:val="24"/>
        </w:rPr>
        <w:t xml:space="preserve"> who adminstered and manged the entire program governance is the ISO/RTO. </w:t>
      </w:r>
      <w:r w:rsidR="00A02449" w:rsidRPr="00EE3A6E">
        <w:rPr>
          <w:rFonts w:ascii="IBM Plex Sans" w:eastAsiaTheme="majorEastAsia" w:hAnsi="IBM Plex Sans" w:cstheme="majorBidi"/>
          <w:noProof/>
          <w:sz w:val="24"/>
          <w:szCs w:val="24"/>
        </w:rPr>
        <w:t xml:space="preserve">Utilities worked very </w:t>
      </w:r>
      <w:r w:rsidR="00C4732C" w:rsidRPr="00EE3A6E">
        <w:rPr>
          <w:rFonts w:ascii="IBM Plex Sans" w:eastAsiaTheme="majorEastAsia" w:hAnsi="IBM Plex Sans" w:cstheme="majorBidi"/>
          <w:noProof/>
          <w:sz w:val="24"/>
          <w:szCs w:val="24"/>
        </w:rPr>
        <w:t>cloesly</w:t>
      </w:r>
      <w:r w:rsidR="00A02449" w:rsidRPr="00EE3A6E">
        <w:rPr>
          <w:rFonts w:ascii="IBM Plex Sans" w:eastAsiaTheme="majorEastAsia" w:hAnsi="IBM Plex Sans" w:cstheme="majorBidi"/>
          <w:noProof/>
          <w:sz w:val="24"/>
          <w:szCs w:val="24"/>
        </w:rPr>
        <w:t xml:space="preserve"> with ISO/RTO to ensure all required </w:t>
      </w:r>
      <w:r w:rsidR="004749E5" w:rsidRPr="00EE3A6E">
        <w:rPr>
          <w:rFonts w:ascii="IBM Plex Sans" w:eastAsiaTheme="majorEastAsia" w:hAnsi="IBM Plex Sans" w:cstheme="majorBidi"/>
          <w:noProof/>
          <w:sz w:val="24"/>
          <w:szCs w:val="24"/>
        </w:rPr>
        <w:t xml:space="preserve">needs and </w:t>
      </w:r>
      <w:r w:rsidR="00C4732C" w:rsidRPr="00EE3A6E">
        <w:rPr>
          <w:rFonts w:ascii="IBM Plex Sans" w:eastAsiaTheme="majorEastAsia" w:hAnsi="IBM Plex Sans" w:cstheme="majorBidi"/>
          <w:noProof/>
          <w:sz w:val="24"/>
          <w:szCs w:val="24"/>
        </w:rPr>
        <w:t>policies</w:t>
      </w:r>
      <w:r w:rsidR="004749E5" w:rsidRPr="00EE3A6E">
        <w:rPr>
          <w:rFonts w:ascii="IBM Plex Sans" w:eastAsiaTheme="majorEastAsia" w:hAnsi="IBM Plex Sans" w:cstheme="majorBidi"/>
          <w:noProof/>
          <w:sz w:val="24"/>
          <w:szCs w:val="24"/>
        </w:rPr>
        <w:t xml:space="preserve"> are </w:t>
      </w:r>
      <w:r w:rsidR="00C4732C" w:rsidRPr="00EE3A6E">
        <w:rPr>
          <w:rFonts w:ascii="IBM Plex Sans" w:eastAsiaTheme="majorEastAsia" w:hAnsi="IBM Plex Sans" w:cstheme="majorBidi"/>
          <w:noProof/>
          <w:sz w:val="24"/>
          <w:szCs w:val="24"/>
        </w:rPr>
        <w:t>adhered and the timelines are met</w:t>
      </w:r>
      <w:r w:rsidR="009A7CF8" w:rsidRPr="00EE3A6E">
        <w:rPr>
          <w:rFonts w:ascii="IBM Plex Sans" w:eastAsiaTheme="majorEastAsia" w:hAnsi="IBM Plex Sans" w:cstheme="majorBidi"/>
          <w:noProof/>
          <w:sz w:val="24"/>
          <w:szCs w:val="24"/>
        </w:rPr>
        <w:t>.</w:t>
      </w:r>
      <w:r w:rsidR="000A6F43" w:rsidRPr="00EE3A6E">
        <w:rPr>
          <w:rFonts w:ascii="IBM Plex Sans" w:eastAsiaTheme="majorEastAsia" w:hAnsi="IBM Plex Sans" w:cstheme="majorBidi"/>
          <w:b/>
          <w:bCs/>
          <w:noProof/>
          <w:sz w:val="24"/>
          <w:szCs w:val="24"/>
        </w:rPr>
        <w:t xml:space="preserve"> </w:t>
      </w:r>
    </w:p>
    <w:p w14:paraId="1582BB61" w14:textId="1E03647D" w:rsidR="00F53677" w:rsidRPr="00EE3A6E" w:rsidRDefault="00F53677" w:rsidP="00F53677">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Market Participation</w:t>
      </w:r>
      <w:r>
        <w:rPr>
          <w:rFonts w:ascii="IBM Plex Sans" w:eastAsiaTheme="majorEastAsia" w:hAnsi="IBM Plex Sans" w:cstheme="majorBidi"/>
          <w:b/>
          <w:bCs/>
          <w:noProof/>
          <w:sz w:val="24"/>
          <w:szCs w:val="24"/>
        </w:rPr>
        <w:t xml:space="preserve"> </w:t>
      </w:r>
    </w:p>
    <w:p w14:paraId="535B383A" w14:textId="7DC37346" w:rsidR="00F53677" w:rsidRPr="00EE3A6E" w:rsidRDefault="00F53677" w:rsidP="00F53677">
      <w:pPr>
        <w:pStyle w:val="ListParagraph"/>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Utility </w:t>
      </w:r>
      <w:r w:rsidR="009E23BF">
        <w:rPr>
          <w:rFonts w:ascii="IBM Plex Sans" w:eastAsiaTheme="majorEastAsia" w:hAnsi="IBM Plex Sans" w:cstheme="majorBidi"/>
          <w:noProof/>
          <w:sz w:val="24"/>
          <w:szCs w:val="24"/>
        </w:rPr>
        <w:t xml:space="preserve">will be participating </w:t>
      </w:r>
      <w:r w:rsidRPr="00EE3A6E">
        <w:rPr>
          <w:rFonts w:ascii="IBM Plex Sans" w:eastAsiaTheme="majorEastAsia" w:hAnsi="IBM Plex Sans" w:cstheme="majorBidi"/>
          <w:noProof/>
          <w:sz w:val="24"/>
          <w:szCs w:val="24"/>
        </w:rPr>
        <w:t>in regional wholesale energy markets, offering aggregated DER services. It</w:t>
      </w:r>
      <w:r w:rsidR="00520E09">
        <w:rPr>
          <w:rFonts w:ascii="IBM Plex Sans" w:eastAsiaTheme="majorEastAsia" w:hAnsi="IBM Plex Sans" w:cstheme="majorBidi"/>
          <w:noProof/>
          <w:sz w:val="24"/>
          <w:szCs w:val="24"/>
        </w:rPr>
        <w:t xml:space="preserve"> will develop</w:t>
      </w:r>
      <w:r w:rsidRPr="00EE3A6E">
        <w:rPr>
          <w:rFonts w:ascii="IBM Plex Sans" w:eastAsiaTheme="majorEastAsia" w:hAnsi="IBM Plex Sans" w:cstheme="majorBidi"/>
          <w:noProof/>
          <w:sz w:val="24"/>
          <w:szCs w:val="24"/>
        </w:rPr>
        <w:t xml:space="preserve"> innovative pricing structures and product offerings that incentivized DER owners to contribute to grid stability and flexibility.</w:t>
      </w:r>
    </w:p>
    <w:p w14:paraId="6D88E78D" w14:textId="7F9C1874" w:rsidR="00F53677" w:rsidRPr="00EE3A6E" w:rsidRDefault="00F53677" w:rsidP="00F53677">
      <w:pPr>
        <w:pStyle w:val="ListParagraph"/>
        <w:numPr>
          <w:ilvl w:val="0"/>
          <w:numId w:val="13"/>
        </w:num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Customer Engagement</w:t>
      </w:r>
      <w:r>
        <w:rPr>
          <w:rFonts w:ascii="IBM Plex Sans" w:eastAsiaTheme="majorEastAsia" w:hAnsi="IBM Plex Sans" w:cstheme="majorBidi"/>
          <w:b/>
          <w:bCs/>
          <w:noProof/>
          <w:sz w:val="24"/>
          <w:szCs w:val="24"/>
        </w:rPr>
        <w:t xml:space="preserve"> </w:t>
      </w:r>
    </w:p>
    <w:p w14:paraId="38280E4D" w14:textId="757E19AC" w:rsidR="00F53677" w:rsidRPr="00EE3A6E" w:rsidRDefault="00F53677" w:rsidP="00F53677">
      <w:pPr>
        <w:pStyle w:val="ListParagraph"/>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noProof/>
          <w:sz w:val="24"/>
          <w:szCs w:val="24"/>
        </w:rPr>
        <w:t xml:space="preserve">Recognizing the importance of customer engagement, Utility </w:t>
      </w:r>
      <w:r w:rsidR="009E23BF">
        <w:rPr>
          <w:rFonts w:ascii="IBM Plex Sans" w:eastAsiaTheme="majorEastAsia" w:hAnsi="IBM Plex Sans" w:cstheme="majorBidi"/>
          <w:noProof/>
          <w:sz w:val="24"/>
          <w:szCs w:val="24"/>
        </w:rPr>
        <w:t>will be launching</w:t>
      </w:r>
      <w:r w:rsidRPr="00EE3A6E">
        <w:rPr>
          <w:rFonts w:ascii="IBM Plex Sans" w:eastAsiaTheme="majorEastAsia" w:hAnsi="IBM Plex Sans" w:cstheme="majorBidi"/>
          <w:noProof/>
          <w:sz w:val="24"/>
          <w:szCs w:val="24"/>
        </w:rPr>
        <w:t xml:space="preserve"> an awareness campaign to educate its customers about the benefits of DER integration. The campaign highlighted cost savings, environmental benefits, and the role of consumers as active participants in the energy transition.</w:t>
      </w:r>
    </w:p>
    <w:p w14:paraId="11F4002E" w14:textId="77777777" w:rsidR="00195CFE" w:rsidRPr="00EE3A6E" w:rsidRDefault="00195CFE" w:rsidP="001C1719">
      <w:pPr>
        <w:jc w:val="both"/>
        <w:rPr>
          <w:rFonts w:ascii="IBM Plex Sans" w:eastAsiaTheme="majorEastAsia" w:hAnsi="IBM Plex Sans" w:cstheme="majorBidi"/>
          <w:b/>
          <w:bCs/>
          <w:noProof/>
          <w:sz w:val="24"/>
          <w:szCs w:val="24"/>
        </w:rPr>
      </w:pPr>
    </w:p>
    <w:p w14:paraId="51AC8BA7" w14:textId="16263DF6" w:rsidR="002A5024" w:rsidRPr="00EE3A6E" w:rsidRDefault="005E57D4" w:rsidP="001C1719">
      <w:p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 xml:space="preserve">General </w:t>
      </w:r>
      <w:r w:rsidR="002A5024" w:rsidRPr="00EE3A6E">
        <w:rPr>
          <w:rFonts w:ascii="IBM Plex Sans" w:eastAsiaTheme="majorEastAsia" w:hAnsi="IBM Plex Sans" w:cstheme="majorBidi"/>
          <w:b/>
          <w:bCs/>
          <w:noProof/>
          <w:sz w:val="24"/>
          <w:szCs w:val="24"/>
        </w:rPr>
        <w:t>Challenges Faced</w:t>
      </w:r>
      <w:r w:rsidRPr="00EE3A6E">
        <w:rPr>
          <w:rFonts w:ascii="IBM Plex Sans" w:eastAsiaTheme="majorEastAsia" w:hAnsi="IBM Plex Sans" w:cstheme="majorBidi"/>
          <w:b/>
          <w:bCs/>
          <w:noProof/>
          <w:sz w:val="24"/>
          <w:szCs w:val="24"/>
        </w:rPr>
        <w:t xml:space="preserve"> by Utilities</w:t>
      </w:r>
    </w:p>
    <w:p w14:paraId="4ED3548E" w14:textId="73DB5BAA" w:rsidR="002A5024" w:rsidRPr="00EE3A6E" w:rsidRDefault="002A5024"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Integrating intermittent DERs presen</w:t>
      </w:r>
      <w:r w:rsidR="00316683">
        <w:rPr>
          <w:rFonts w:ascii="IBM Plex Sans" w:eastAsiaTheme="majorEastAsia" w:hAnsi="IBM Plex Sans" w:cstheme="majorBidi"/>
          <w:noProof/>
          <w:sz w:val="24"/>
          <w:szCs w:val="24"/>
        </w:rPr>
        <w:t>t</w:t>
      </w:r>
      <w:r w:rsidRPr="00EE3A6E">
        <w:rPr>
          <w:rFonts w:ascii="IBM Plex Sans" w:eastAsiaTheme="majorEastAsia" w:hAnsi="IBM Plex Sans" w:cstheme="majorBidi"/>
          <w:noProof/>
          <w:sz w:val="24"/>
          <w:szCs w:val="24"/>
        </w:rPr>
        <w:t xml:space="preserve"> challenges in managing grid stability. Utility  ha</w:t>
      </w:r>
      <w:r w:rsidR="00316683">
        <w:rPr>
          <w:rFonts w:ascii="IBM Plex Sans" w:eastAsiaTheme="majorEastAsia" w:hAnsi="IBM Plex Sans" w:cstheme="majorBidi"/>
          <w:noProof/>
          <w:sz w:val="24"/>
          <w:szCs w:val="24"/>
        </w:rPr>
        <w:t>ve</w:t>
      </w:r>
      <w:r w:rsidRPr="00EE3A6E">
        <w:rPr>
          <w:rFonts w:ascii="IBM Plex Sans" w:eastAsiaTheme="majorEastAsia" w:hAnsi="IBM Plex Sans" w:cstheme="majorBidi"/>
          <w:noProof/>
          <w:sz w:val="24"/>
          <w:szCs w:val="24"/>
        </w:rPr>
        <w:t xml:space="preserve"> to refine its grid management strategies to ensure smooth operation even during times of high DER penetration.</w:t>
      </w:r>
    </w:p>
    <w:p w14:paraId="1B8561D8" w14:textId="77777777" w:rsidR="002A5024" w:rsidRPr="00EE3A6E" w:rsidRDefault="002A5024"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Navigating the complex regulatory landscape surrounding FERC 2222 required ongoing effort and collaboration with regulatory bodies. Utility actively participated in policy discussions to shape supportive regulations.</w:t>
      </w:r>
    </w:p>
    <w:p w14:paraId="1E106FBA" w14:textId="77777777" w:rsidR="002A5024" w:rsidRPr="00EE3A6E" w:rsidRDefault="002A5024"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With increased data requirements from DERs, Utility faced challenges in data management and ensuring the security of sensitive information.</w:t>
      </w:r>
    </w:p>
    <w:p w14:paraId="6631F472" w14:textId="46B0B939" w:rsidR="00016687" w:rsidRPr="00EE3A6E" w:rsidRDefault="00E372BC"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Utilities finidng a major setback in BTM (Behind the Meter) DER sub-metering </w:t>
      </w:r>
      <w:r w:rsidR="004D67A4" w:rsidRPr="00EE3A6E">
        <w:rPr>
          <w:rFonts w:ascii="IBM Plex Sans" w:eastAsiaTheme="majorEastAsia" w:hAnsi="IBM Plex Sans" w:cstheme="majorBidi"/>
          <w:noProof/>
          <w:sz w:val="24"/>
          <w:szCs w:val="24"/>
        </w:rPr>
        <w:t xml:space="preserve">infrastructure. Generally Utilities have FTM (Front of the Meter) </w:t>
      </w:r>
      <w:r w:rsidR="00BD12A0" w:rsidRPr="00EE3A6E">
        <w:rPr>
          <w:rFonts w:ascii="IBM Plex Sans" w:eastAsiaTheme="majorEastAsia" w:hAnsi="IBM Plex Sans" w:cstheme="majorBidi"/>
          <w:noProof/>
          <w:sz w:val="24"/>
          <w:szCs w:val="24"/>
        </w:rPr>
        <w:t xml:space="preserve">Meter reading capabilities using Net metering and caluclating net load. In the abscenece of </w:t>
      </w:r>
      <w:r w:rsidR="008C718E" w:rsidRPr="00EE3A6E">
        <w:rPr>
          <w:rFonts w:ascii="IBM Plex Sans" w:eastAsiaTheme="majorEastAsia" w:hAnsi="IBM Plex Sans" w:cstheme="majorBidi"/>
          <w:noProof/>
          <w:sz w:val="24"/>
          <w:szCs w:val="24"/>
        </w:rPr>
        <w:t xml:space="preserve">having sub-metering </w:t>
      </w:r>
      <w:r w:rsidR="00E47C3D" w:rsidRPr="00EE3A6E">
        <w:rPr>
          <w:rFonts w:ascii="IBM Plex Sans" w:eastAsiaTheme="majorEastAsia" w:hAnsi="IBM Plex Sans" w:cstheme="majorBidi"/>
          <w:noProof/>
          <w:sz w:val="24"/>
          <w:szCs w:val="24"/>
        </w:rPr>
        <w:t xml:space="preserve">attached to every single DERs, </w:t>
      </w:r>
      <w:r w:rsidR="008C718E" w:rsidRPr="00EE3A6E">
        <w:rPr>
          <w:rFonts w:ascii="IBM Plex Sans" w:eastAsiaTheme="majorEastAsia" w:hAnsi="IBM Plex Sans" w:cstheme="majorBidi"/>
          <w:noProof/>
          <w:sz w:val="24"/>
          <w:szCs w:val="24"/>
        </w:rPr>
        <w:t>Utilities find it difficult to measure the exact generation of the DERs behind the meters.</w:t>
      </w:r>
    </w:p>
    <w:p w14:paraId="186F0A2C" w14:textId="45F17FCA" w:rsidR="008C718E" w:rsidRPr="00EE3A6E" w:rsidRDefault="00802910"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lastRenderedPageBreak/>
        <w:t xml:space="preserve">The existing tariffs </w:t>
      </w:r>
      <w:r w:rsidR="00C23B53" w:rsidRPr="00EE3A6E">
        <w:rPr>
          <w:rFonts w:ascii="IBM Plex Sans" w:eastAsiaTheme="majorEastAsia" w:hAnsi="IBM Plex Sans" w:cstheme="majorBidi"/>
          <w:noProof/>
          <w:sz w:val="24"/>
          <w:szCs w:val="24"/>
        </w:rPr>
        <w:t xml:space="preserve">offered in the </w:t>
      </w:r>
      <w:r w:rsidR="00566A25" w:rsidRPr="00EE3A6E">
        <w:rPr>
          <w:rFonts w:ascii="IBM Plex Sans" w:eastAsiaTheme="majorEastAsia" w:hAnsi="IBM Plex Sans" w:cstheme="majorBidi"/>
          <w:noProof/>
          <w:sz w:val="24"/>
          <w:szCs w:val="24"/>
        </w:rPr>
        <w:t>retail</w:t>
      </w:r>
      <w:r w:rsidR="00C23B53" w:rsidRPr="00EE3A6E">
        <w:rPr>
          <w:rFonts w:ascii="IBM Plex Sans" w:eastAsiaTheme="majorEastAsia" w:hAnsi="IBM Plex Sans" w:cstheme="majorBidi"/>
          <w:noProof/>
          <w:sz w:val="24"/>
          <w:szCs w:val="24"/>
        </w:rPr>
        <w:t xml:space="preserve"> </w:t>
      </w:r>
      <w:r w:rsidR="00061649" w:rsidRPr="00EE3A6E">
        <w:rPr>
          <w:rFonts w:ascii="IBM Plex Sans" w:eastAsiaTheme="majorEastAsia" w:hAnsi="IBM Plex Sans" w:cstheme="majorBidi"/>
          <w:noProof/>
          <w:sz w:val="24"/>
          <w:szCs w:val="24"/>
        </w:rPr>
        <w:t>market</w:t>
      </w:r>
      <w:r w:rsidR="00BA3890" w:rsidRPr="00EE3A6E">
        <w:rPr>
          <w:rFonts w:ascii="IBM Plex Sans" w:eastAsiaTheme="majorEastAsia" w:hAnsi="IBM Plex Sans" w:cstheme="majorBidi"/>
          <w:noProof/>
          <w:sz w:val="24"/>
          <w:szCs w:val="24"/>
        </w:rPr>
        <w:t xml:space="preserve"> </w:t>
      </w:r>
      <w:r w:rsidR="00C23B53" w:rsidRPr="00EE3A6E">
        <w:rPr>
          <w:rFonts w:ascii="IBM Plex Sans" w:eastAsiaTheme="majorEastAsia" w:hAnsi="IBM Plex Sans" w:cstheme="majorBidi"/>
          <w:noProof/>
          <w:sz w:val="24"/>
          <w:szCs w:val="24"/>
        </w:rPr>
        <w:t>th</w:t>
      </w:r>
      <w:r w:rsidR="00450C9B">
        <w:rPr>
          <w:rFonts w:ascii="IBM Plex Sans" w:eastAsiaTheme="majorEastAsia" w:hAnsi="IBM Plex Sans" w:cstheme="majorBidi"/>
          <w:noProof/>
          <w:sz w:val="24"/>
          <w:szCs w:val="24"/>
        </w:rPr>
        <w:t>r</w:t>
      </w:r>
      <w:r w:rsidR="00C23B53" w:rsidRPr="00EE3A6E">
        <w:rPr>
          <w:rFonts w:ascii="IBM Plex Sans" w:eastAsiaTheme="majorEastAsia" w:hAnsi="IBM Plex Sans" w:cstheme="majorBidi"/>
          <w:noProof/>
          <w:sz w:val="24"/>
          <w:szCs w:val="24"/>
        </w:rPr>
        <w:t xml:space="preserve">ough various programs </w:t>
      </w:r>
      <w:r w:rsidR="00501ABB" w:rsidRPr="00EE3A6E">
        <w:rPr>
          <w:rFonts w:ascii="IBM Plex Sans" w:eastAsiaTheme="majorEastAsia" w:hAnsi="IBM Plex Sans" w:cstheme="majorBidi"/>
          <w:noProof/>
          <w:sz w:val="24"/>
          <w:szCs w:val="24"/>
        </w:rPr>
        <w:t>offer attractive pricing model</w:t>
      </w:r>
      <w:r w:rsidR="00C23B53" w:rsidRPr="00EE3A6E">
        <w:rPr>
          <w:rFonts w:ascii="IBM Plex Sans" w:eastAsiaTheme="majorEastAsia" w:hAnsi="IBM Plex Sans" w:cstheme="majorBidi"/>
          <w:noProof/>
          <w:sz w:val="24"/>
          <w:szCs w:val="24"/>
        </w:rPr>
        <w:t xml:space="preserve"> for Aggregators and customers than participation in the wholesale market. </w:t>
      </w:r>
      <w:r w:rsidR="00BA3890" w:rsidRPr="00EE3A6E">
        <w:rPr>
          <w:rFonts w:ascii="IBM Plex Sans" w:eastAsiaTheme="majorEastAsia" w:hAnsi="IBM Plex Sans" w:cstheme="majorBidi"/>
          <w:noProof/>
          <w:sz w:val="24"/>
          <w:szCs w:val="24"/>
        </w:rPr>
        <w:t>There are challenges in att</w:t>
      </w:r>
      <w:r w:rsidR="003A157F" w:rsidRPr="00EE3A6E">
        <w:rPr>
          <w:rFonts w:ascii="IBM Plex Sans" w:eastAsiaTheme="majorEastAsia" w:hAnsi="IBM Plex Sans" w:cstheme="majorBidi"/>
          <w:noProof/>
          <w:sz w:val="24"/>
          <w:szCs w:val="24"/>
        </w:rPr>
        <w:t>r</w:t>
      </w:r>
      <w:r w:rsidR="00BA3890" w:rsidRPr="00EE3A6E">
        <w:rPr>
          <w:rFonts w:ascii="IBM Plex Sans" w:eastAsiaTheme="majorEastAsia" w:hAnsi="IBM Plex Sans" w:cstheme="majorBidi"/>
          <w:noProof/>
          <w:sz w:val="24"/>
          <w:szCs w:val="24"/>
        </w:rPr>
        <w:t xml:space="preserve">acting new customers to get enrolled into the whoesale market. </w:t>
      </w:r>
    </w:p>
    <w:p w14:paraId="7C133F8C" w14:textId="7320BA22" w:rsidR="003A157F" w:rsidRPr="00EE3A6E" w:rsidRDefault="003A157F"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The are potential financial </w:t>
      </w:r>
      <w:r w:rsidR="00566A25" w:rsidRPr="00EE3A6E">
        <w:rPr>
          <w:rFonts w:ascii="IBM Plex Sans" w:eastAsiaTheme="majorEastAsia" w:hAnsi="IBM Plex Sans" w:cstheme="majorBidi"/>
          <w:noProof/>
          <w:sz w:val="24"/>
          <w:szCs w:val="24"/>
        </w:rPr>
        <w:t xml:space="preserve">and regulatory </w:t>
      </w:r>
      <w:r w:rsidRPr="00EE3A6E">
        <w:rPr>
          <w:rFonts w:ascii="IBM Plex Sans" w:eastAsiaTheme="majorEastAsia" w:hAnsi="IBM Plex Sans" w:cstheme="majorBidi"/>
          <w:noProof/>
          <w:sz w:val="24"/>
          <w:szCs w:val="24"/>
        </w:rPr>
        <w:t xml:space="preserve">impact </w:t>
      </w:r>
      <w:r w:rsidR="003563F8" w:rsidRPr="00EE3A6E">
        <w:rPr>
          <w:rFonts w:ascii="IBM Plex Sans" w:eastAsiaTheme="majorEastAsia" w:hAnsi="IBM Plex Sans" w:cstheme="majorBidi"/>
          <w:noProof/>
          <w:sz w:val="24"/>
          <w:szCs w:val="24"/>
        </w:rPr>
        <w:t>if</w:t>
      </w:r>
      <w:r w:rsidRPr="00EE3A6E">
        <w:rPr>
          <w:rFonts w:ascii="IBM Plex Sans" w:eastAsiaTheme="majorEastAsia" w:hAnsi="IBM Plex Sans" w:cstheme="majorBidi"/>
          <w:noProof/>
          <w:sz w:val="24"/>
          <w:szCs w:val="24"/>
        </w:rPr>
        <w:t xml:space="preserve"> customers participat</w:t>
      </w:r>
      <w:r w:rsidR="003563F8" w:rsidRPr="00EE3A6E">
        <w:rPr>
          <w:rFonts w:ascii="IBM Plex Sans" w:eastAsiaTheme="majorEastAsia" w:hAnsi="IBM Plex Sans" w:cstheme="majorBidi"/>
          <w:noProof/>
          <w:sz w:val="24"/>
          <w:szCs w:val="24"/>
        </w:rPr>
        <w:t>e</w:t>
      </w:r>
      <w:r w:rsidRPr="00EE3A6E">
        <w:rPr>
          <w:rFonts w:ascii="IBM Plex Sans" w:eastAsiaTheme="majorEastAsia" w:hAnsi="IBM Plex Sans" w:cstheme="majorBidi"/>
          <w:noProof/>
          <w:sz w:val="24"/>
          <w:szCs w:val="24"/>
        </w:rPr>
        <w:t xml:space="preserve"> in dual markets</w:t>
      </w:r>
      <w:r w:rsidR="00566A25" w:rsidRPr="00EE3A6E">
        <w:rPr>
          <w:rFonts w:ascii="IBM Plex Sans" w:eastAsiaTheme="majorEastAsia" w:hAnsi="IBM Plex Sans" w:cstheme="majorBidi"/>
          <w:noProof/>
          <w:sz w:val="24"/>
          <w:szCs w:val="24"/>
        </w:rPr>
        <w:t>, both whoelsale and retail.</w:t>
      </w:r>
      <w:r w:rsidRPr="00EE3A6E">
        <w:rPr>
          <w:rFonts w:ascii="IBM Plex Sans" w:eastAsiaTheme="majorEastAsia" w:hAnsi="IBM Plex Sans" w:cstheme="majorBidi"/>
          <w:noProof/>
          <w:sz w:val="24"/>
          <w:szCs w:val="24"/>
        </w:rPr>
        <w:t xml:space="preserve"> Utilities have to carefully </w:t>
      </w:r>
      <w:r w:rsidR="00014E77" w:rsidRPr="00EE3A6E">
        <w:rPr>
          <w:rFonts w:ascii="IBM Plex Sans" w:eastAsiaTheme="majorEastAsia" w:hAnsi="IBM Plex Sans" w:cstheme="majorBidi"/>
          <w:noProof/>
          <w:sz w:val="24"/>
          <w:szCs w:val="24"/>
        </w:rPr>
        <w:t xml:space="preserve">validate such enrollment and ensure there are no </w:t>
      </w:r>
      <w:r w:rsidR="00566A25" w:rsidRPr="00EE3A6E">
        <w:rPr>
          <w:rFonts w:ascii="IBM Plex Sans" w:eastAsiaTheme="majorEastAsia" w:hAnsi="IBM Plex Sans" w:cstheme="majorBidi"/>
          <w:noProof/>
          <w:sz w:val="24"/>
          <w:szCs w:val="24"/>
        </w:rPr>
        <w:t>double</w:t>
      </w:r>
      <w:r w:rsidR="00014E77" w:rsidRPr="00EE3A6E">
        <w:rPr>
          <w:rFonts w:ascii="IBM Plex Sans" w:eastAsiaTheme="majorEastAsia" w:hAnsi="IBM Plex Sans" w:cstheme="majorBidi"/>
          <w:noProof/>
          <w:sz w:val="24"/>
          <w:szCs w:val="24"/>
        </w:rPr>
        <w:t xml:space="preserve"> counting</w:t>
      </w:r>
      <w:r w:rsidR="00C964C1" w:rsidRPr="00EE3A6E">
        <w:rPr>
          <w:rFonts w:ascii="IBM Plex Sans" w:eastAsiaTheme="majorEastAsia" w:hAnsi="IBM Plex Sans" w:cstheme="majorBidi"/>
          <w:noProof/>
          <w:sz w:val="24"/>
          <w:szCs w:val="24"/>
        </w:rPr>
        <w:t xml:space="preserve"> by operating same DERs in both the markets.</w:t>
      </w:r>
    </w:p>
    <w:p w14:paraId="3F914288" w14:textId="4854A746" w:rsidR="0011244C" w:rsidRPr="00EE3A6E" w:rsidRDefault="0011244C"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The tariff agreement</w:t>
      </w:r>
      <w:r w:rsidR="00112D06" w:rsidRPr="00EE3A6E">
        <w:rPr>
          <w:rFonts w:ascii="IBM Plex Sans" w:eastAsiaTheme="majorEastAsia" w:hAnsi="IBM Plex Sans" w:cstheme="majorBidi"/>
          <w:noProof/>
          <w:sz w:val="24"/>
          <w:szCs w:val="24"/>
        </w:rPr>
        <w:t xml:space="preserve"> for wholesale markets</w:t>
      </w:r>
      <w:r w:rsidRPr="00EE3A6E">
        <w:rPr>
          <w:rFonts w:ascii="IBM Plex Sans" w:eastAsiaTheme="majorEastAsia" w:hAnsi="IBM Plex Sans" w:cstheme="majorBidi"/>
          <w:noProof/>
          <w:sz w:val="24"/>
          <w:szCs w:val="24"/>
        </w:rPr>
        <w:t xml:space="preserve"> </w:t>
      </w:r>
      <w:r w:rsidR="00C964C1" w:rsidRPr="00EE3A6E">
        <w:rPr>
          <w:rFonts w:ascii="IBM Plex Sans" w:eastAsiaTheme="majorEastAsia" w:hAnsi="IBM Plex Sans" w:cstheme="majorBidi"/>
          <w:noProof/>
          <w:sz w:val="24"/>
          <w:szCs w:val="24"/>
        </w:rPr>
        <w:t xml:space="preserve">and its impact to retail tariffs </w:t>
      </w:r>
      <w:r w:rsidRPr="00EE3A6E">
        <w:rPr>
          <w:rFonts w:ascii="IBM Plex Sans" w:eastAsiaTheme="majorEastAsia" w:hAnsi="IBM Plex Sans" w:cstheme="majorBidi"/>
          <w:noProof/>
          <w:sz w:val="24"/>
          <w:szCs w:val="24"/>
        </w:rPr>
        <w:t xml:space="preserve">between various regulatory bodies </w:t>
      </w:r>
      <w:r w:rsidR="00C01CD7" w:rsidRPr="00EE3A6E">
        <w:rPr>
          <w:rFonts w:ascii="IBM Plex Sans" w:eastAsiaTheme="majorEastAsia" w:hAnsi="IBM Plex Sans" w:cstheme="majorBidi"/>
          <w:noProof/>
          <w:sz w:val="24"/>
          <w:szCs w:val="24"/>
        </w:rPr>
        <w:t>takes longer time</w:t>
      </w:r>
      <w:r w:rsidR="00BB4098" w:rsidRPr="00EE3A6E">
        <w:rPr>
          <w:rFonts w:ascii="IBM Plex Sans" w:eastAsiaTheme="majorEastAsia" w:hAnsi="IBM Plex Sans" w:cstheme="majorBidi"/>
          <w:noProof/>
          <w:sz w:val="24"/>
          <w:szCs w:val="24"/>
        </w:rPr>
        <w:t xml:space="preserve">. This </w:t>
      </w:r>
      <w:r w:rsidR="00C01CD7" w:rsidRPr="00EE3A6E">
        <w:rPr>
          <w:rFonts w:ascii="IBM Plex Sans" w:eastAsiaTheme="majorEastAsia" w:hAnsi="IBM Plex Sans" w:cstheme="majorBidi"/>
          <w:noProof/>
          <w:sz w:val="24"/>
          <w:szCs w:val="24"/>
        </w:rPr>
        <w:t xml:space="preserve">impacts Utilities to </w:t>
      </w:r>
      <w:r w:rsidR="00AE2CD7" w:rsidRPr="00EE3A6E">
        <w:rPr>
          <w:rFonts w:ascii="IBM Plex Sans" w:eastAsiaTheme="majorEastAsia" w:hAnsi="IBM Plex Sans" w:cstheme="majorBidi"/>
          <w:noProof/>
          <w:sz w:val="24"/>
          <w:szCs w:val="24"/>
        </w:rPr>
        <w:t>delay</w:t>
      </w:r>
      <w:r w:rsidR="00C01CD7" w:rsidRPr="00EE3A6E">
        <w:rPr>
          <w:rFonts w:ascii="IBM Plex Sans" w:eastAsiaTheme="majorEastAsia" w:hAnsi="IBM Plex Sans" w:cstheme="majorBidi"/>
          <w:noProof/>
          <w:sz w:val="24"/>
          <w:szCs w:val="24"/>
        </w:rPr>
        <w:t xml:space="preserve"> the backoffice changes to accommodate any new billing and settlement process.</w:t>
      </w:r>
    </w:p>
    <w:p w14:paraId="2BDEAA65" w14:textId="5F443374" w:rsidR="0031241C" w:rsidRPr="00EE3A6E" w:rsidRDefault="006A5FDE" w:rsidP="001C1719">
      <w:pPr>
        <w:pStyle w:val="ListParagraph"/>
        <w:numPr>
          <w:ilvl w:val="0"/>
          <w:numId w:val="3"/>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Utilities have to engage relevant third party resources to </w:t>
      </w:r>
      <w:r w:rsidR="00D738C5" w:rsidRPr="00EE3A6E">
        <w:rPr>
          <w:rFonts w:ascii="IBM Plex Sans" w:eastAsiaTheme="majorEastAsia" w:hAnsi="IBM Plex Sans" w:cstheme="majorBidi"/>
          <w:noProof/>
          <w:sz w:val="24"/>
          <w:szCs w:val="24"/>
        </w:rPr>
        <w:t>make</w:t>
      </w:r>
      <w:r w:rsidR="00D5074B" w:rsidRPr="00EE3A6E">
        <w:rPr>
          <w:rFonts w:ascii="IBM Plex Sans" w:eastAsiaTheme="majorEastAsia" w:hAnsi="IBM Plex Sans" w:cstheme="majorBidi"/>
          <w:noProof/>
          <w:sz w:val="24"/>
          <w:szCs w:val="24"/>
        </w:rPr>
        <w:t xml:space="preserve"> the changes in </w:t>
      </w:r>
      <w:r w:rsidRPr="00EE3A6E">
        <w:rPr>
          <w:rFonts w:ascii="IBM Plex Sans" w:eastAsiaTheme="majorEastAsia" w:hAnsi="IBM Plex Sans" w:cstheme="majorBidi"/>
          <w:noProof/>
          <w:sz w:val="24"/>
          <w:szCs w:val="24"/>
        </w:rPr>
        <w:t xml:space="preserve">the </w:t>
      </w:r>
      <w:r w:rsidR="00D5074B" w:rsidRPr="00EE3A6E">
        <w:rPr>
          <w:rFonts w:ascii="IBM Plex Sans" w:eastAsiaTheme="majorEastAsia" w:hAnsi="IBM Plex Sans" w:cstheme="majorBidi"/>
          <w:noProof/>
          <w:sz w:val="24"/>
          <w:szCs w:val="24"/>
        </w:rPr>
        <w:t xml:space="preserve">existing </w:t>
      </w:r>
      <w:r w:rsidRPr="00EE3A6E">
        <w:rPr>
          <w:rFonts w:ascii="IBM Plex Sans" w:eastAsiaTheme="majorEastAsia" w:hAnsi="IBM Plex Sans" w:cstheme="majorBidi"/>
          <w:noProof/>
          <w:sz w:val="24"/>
          <w:szCs w:val="24"/>
        </w:rPr>
        <w:t xml:space="preserve">wholesale settlement process </w:t>
      </w:r>
      <w:r w:rsidR="00D5074B" w:rsidRPr="00EE3A6E">
        <w:rPr>
          <w:rFonts w:ascii="IBM Plex Sans" w:eastAsiaTheme="majorEastAsia" w:hAnsi="IBM Plex Sans" w:cstheme="majorBidi"/>
          <w:noProof/>
          <w:sz w:val="24"/>
          <w:szCs w:val="24"/>
        </w:rPr>
        <w:t>to accommodate for aggregation.</w:t>
      </w:r>
    </w:p>
    <w:p w14:paraId="779AF661" w14:textId="374242A9" w:rsidR="002A5024" w:rsidRPr="00EE3A6E" w:rsidRDefault="0019746A" w:rsidP="001C1719">
      <w:pPr>
        <w:jc w:val="both"/>
        <w:rPr>
          <w:rFonts w:ascii="IBM Plex Sans" w:eastAsiaTheme="majorEastAsia" w:hAnsi="IBM Plex Sans" w:cstheme="majorBidi"/>
          <w:b/>
          <w:bCs/>
          <w:noProof/>
          <w:sz w:val="24"/>
          <w:szCs w:val="24"/>
        </w:rPr>
      </w:pPr>
      <w:r w:rsidRPr="00EE3A6E">
        <w:rPr>
          <w:rFonts w:ascii="IBM Plex Sans" w:eastAsiaTheme="majorEastAsia" w:hAnsi="IBM Plex Sans" w:cstheme="majorBidi"/>
          <w:b/>
          <w:bCs/>
          <w:noProof/>
          <w:sz w:val="24"/>
          <w:szCs w:val="24"/>
        </w:rPr>
        <w:t xml:space="preserve">Business </w:t>
      </w:r>
      <w:r w:rsidR="002A5024" w:rsidRPr="00EE3A6E">
        <w:rPr>
          <w:rFonts w:ascii="IBM Plex Sans" w:eastAsiaTheme="majorEastAsia" w:hAnsi="IBM Plex Sans" w:cstheme="majorBidi"/>
          <w:b/>
          <w:bCs/>
          <w:noProof/>
          <w:sz w:val="24"/>
          <w:szCs w:val="24"/>
        </w:rPr>
        <w:t>Outcomes</w:t>
      </w:r>
    </w:p>
    <w:p w14:paraId="61343475" w14:textId="3D5CEF62" w:rsidR="002A5024" w:rsidRPr="00EE3A6E" w:rsidRDefault="002A5024" w:rsidP="001C1719">
      <w:pPr>
        <w:pStyle w:val="ListParagraph"/>
        <w:numPr>
          <w:ilvl w:val="0"/>
          <w:numId w:val="4"/>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FERC 2222 implementation </w:t>
      </w:r>
      <w:r w:rsidR="00D55461" w:rsidRPr="00EE3A6E">
        <w:rPr>
          <w:rFonts w:ascii="IBM Plex Sans" w:eastAsiaTheme="majorEastAsia" w:hAnsi="IBM Plex Sans" w:cstheme="majorBidi"/>
          <w:noProof/>
          <w:sz w:val="24"/>
          <w:szCs w:val="24"/>
        </w:rPr>
        <w:t xml:space="preserve">potentially </w:t>
      </w:r>
      <w:r w:rsidRPr="00EE3A6E">
        <w:rPr>
          <w:rFonts w:ascii="IBM Plex Sans" w:eastAsiaTheme="majorEastAsia" w:hAnsi="IBM Plex Sans" w:cstheme="majorBidi"/>
          <w:noProof/>
          <w:sz w:val="24"/>
          <w:szCs w:val="24"/>
        </w:rPr>
        <w:t>led to a substantial increase in DER participation in wholesale markets, contributing to a more diverse and cleaner energy mix.</w:t>
      </w:r>
    </w:p>
    <w:p w14:paraId="24D058F0" w14:textId="77777777" w:rsidR="002A5024" w:rsidRPr="00EE3A6E" w:rsidRDefault="002A5024" w:rsidP="001C1719">
      <w:pPr>
        <w:pStyle w:val="ListParagraph"/>
        <w:numPr>
          <w:ilvl w:val="0"/>
          <w:numId w:val="4"/>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By leveraging aggregated DER resources, Utility enhanced grid flexibility, allowing for improved integration of intermittent renewables and effective demand response.</w:t>
      </w:r>
    </w:p>
    <w:p w14:paraId="18C4E118" w14:textId="77777777" w:rsidR="002A5024" w:rsidRPr="00EE3A6E" w:rsidRDefault="002A5024" w:rsidP="001C1719">
      <w:pPr>
        <w:pStyle w:val="ListParagraph"/>
        <w:numPr>
          <w:ilvl w:val="0"/>
          <w:numId w:val="4"/>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Customer engagement initiatives positively impacted public perception, leading to higher customer satisfaction and a greater understanding of the benefits of DER integration.</w:t>
      </w:r>
    </w:p>
    <w:p w14:paraId="05D741E7" w14:textId="77777777" w:rsidR="002A5024" w:rsidRPr="00EE3A6E" w:rsidRDefault="002A5024" w:rsidP="001C1719">
      <w:pPr>
        <w:pStyle w:val="ListParagraph"/>
        <w:numPr>
          <w:ilvl w:val="0"/>
          <w:numId w:val="4"/>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Utility successfully created new revenue streams by offering DER-based services, thereby diversifying its income sources.</w:t>
      </w:r>
    </w:p>
    <w:p w14:paraId="0062D51A" w14:textId="057452A6" w:rsidR="002A5024" w:rsidRPr="00EE3A6E" w:rsidRDefault="00831592" w:rsidP="001C1719">
      <w:pPr>
        <w:jc w:val="both"/>
        <w:rPr>
          <w:rFonts w:ascii="IBM Plex Sans" w:eastAsiaTheme="majorEastAsia" w:hAnsi="IBM Plex Sans" w:cstheme="majorBidi"/>
          <w:noProof/>
          <w:sz w:val="24"/>
          <w:szCs w:val="24"/>
        </w:rPr>
      </w:pPr>
      <w:r w:rsidRPr="00EE3A6E">
        <w:rPr>
          <w:rFonts w:ascii="IBM Plex Sans" w:eastAsiaTheme="majorEastAsia" w:hAnsi="IBM Plex Sans" w:cstheme="majorBidi"/>
          <w:noProof/>
          <w:sz w:val="24"/>
          <w:szCs w:val="24"/>
        </w:rPr>
        <w:t xml:space="preserve">The </w:t>
      </w:r>
      <w:r w:rsidR="002A5024" w:rsidRPr="00EE3A6E">
        <w:rPr>
          <w:rFonts w:ascii="IBM Plex Sans" w:eastAsiaTheme="majorEastAsia" w:hAnsi="IBM Plex Sans" w:cstheme="majorBidi"/>
          <w:noProof/>
          <w:sz w:val="24"/>
          <w:szCs w:val="24"/>
        </w:rPr>
        <w:t>Utility</w:t>
      </w:r>
      <w:r w:rsidRPr="00EE3A6E">
        <w:rPr>
          <w:rFonts w:ascii="IBM Plex Sans" w:eastAsiaTheme="majorEastAsia" w:hAnsi="IBM Plex Sans" w:cstheme="majorBidi"/>
          <w:noProof/>
          <w:sz w:val="24"/>
          <w:szCs w:val="24"/>
        </w:rPr>
        <w:t>’s</w:t>
      </w:r>
      <w:r w:rsidR="002A5024" w:rsidRPr="00EE3A6E">
        <w:rPr>
          <w:rFonts w:ascii="IBM Plex Sans" w:eastAsiaTheme="majorEastAsia" w:hAnsi="IBM Plex Sans" w:cstheme="majorBidi"/>
          <w:noProof/>
          <w:sz w:val="24"/>
          <w:szCs w:val="24"/>
        </w:rPr>
        <w:t xml:space="preserve"> experience with FERC 2222 implementation demonstrates the potential of DER integration to transform traditional utilities into more adaptive, customer-focused entities. Despite challenges, the utility's proactive approach in complying with FERC 2222 and engaging stakeholders yielded positive outcomes, supporting the transition towards a more sustainable and resilient energy future.</w:t>
      </w:r>
    </w:p>
    <w:p w14:paraId="1CB47374" w14:textId="77777777" w:rsidR="00C601C2" w:rsidRDefault="00C601C2">
      <w:pPr>
        <w:rPr>
          <w:rFonts w:ascii="IBM Plex Sans" w:eastAsiaTheme="majorEastAsia" w:hAnsi="IBM Plex Sans" w:cstheme="majorBidi"/>
          <w:noProof/>
          <w:color w:val="0070C0"/>
          <w:sz w:val="32"/>
          <w:szCs w:val="32"/>
        </w:rPr>
      </w:pPr>
      <w:bookmarkStart w:id="5" w:name="_Toc141807438"/>
      <w:r>
        <w:rPr>
          <w:rFonts w:ascii="IBM Plex Sans" w:hAnsi="IBM Plex Sans"/>
          <w:noProof/>
          <w:color w:val="0070C0"/>
        </w:rPr>
        <w:br w:type="page"/>
      </w:r>
    </w:p>
    <w:p w14:paraId="30479905" w14:textId="2142DA11" w:rsidR="009708A8" w:rsidRPr="002F0E6B" w:rsidRDefault="007E476D" w:rsidP="001C1719">
      <w:pPr>
        <w:pStyle w:val="Heading2"/>
        <w:jc w:val="both"/>
        <w:rPr>
          <w:rFonts w:ascii="IBM Plex Sans" w:eastAsia="Times New Roman" w:hAnsi="IBM Plex Sans" w:cs="Arial"/>
          <w:color w:val="auto"/>
          <w:sz w:val="24"/>
          <w:szCs w:val="24"/>
        </w:rPr>
      </w:pPr>
      <w:r w:rsidRPr="002F0E6B">
        <w:rPr>
          <w:rFonts w:ascii="IBM Plex Sans" w:hAnsi="IBM Plex Sans"/>
          <w:noProof/>
          <w:color w:val="0070C0"/>
        </w:rPr>
        <w:lastRenderedPageBreak/>
        <w:t>Conclusion</w:t>
      </w:r>
      <w:bookmarkEnd w:id="5"/>
      <w:r w:rsidRPr="002F0E6B">
        <w:rPr>
          <w:rFonts w:ascii="IBM Plex Sans" w:hAnsi="IBM Plex Sans"/>
          <w:noProof/>
          <w:color w:val="0070C0"/>
        </w:rPr>
        <w:t xml:space="preserve"> </w:t>
      </w:r>
      <w:r w:rsidR="009708A8" w:rsidRPr="002F0E6B">
        <w:rPr>
          <w:rFonts w:ascii="IBM Plex Sans" w:eastAsia="Times New Roman" w:hAnsi="IBM Plex Sans" w:cs="Arial"/>
          <w:vanish/>
          <w:color w:val="0070C0"/>
        </w:rPr>
        <w:t>Top of Form</w:t>
      </w:r>
    </w:p>
    <w:p w14:paraId="1424F852" w14:textId="01DF2001" w:rsidR="0090116E" w:rsidRPr="00EE3A6E" w:rsidRDefault="0090116E" w:rsidP="00E84700">
      <w:pPr>
        <w:spacing w:after="0" w:line="240" w:lineRule="auto"/>
        <w:jc w:val="both"/>
        <w:rPr>
          <w:rFonts w:ascii="IBM Plex Sans" w:eastAsia="Times New Roman" w:hAnsi="IBM Plex Sans" w:cs="Arial"/>
          <w:sz w:val="24"/>
          <w:szCs w:val="24"/>
        </w:rPr>
      </w:pPr>
      <w:r w:rsidRPr="00EE3A6E">
        <w:rPr>
          <w:rFonts w:ascii="IBM Plex Sans" w:eastAsia="Times New Roman" w:hAnsi="IBM Plex Sans" w:cs="Arial"/>
          <w:sz w:val="24"/>
          <w:szCs w:val="24"/>
        </w:rPr>
        <w:t>As of last update in September 2021, FERC Order 2222 is a regulation specific to the United States, issued by the Federal Energy Regulatory Commission (FERC). It</w:t>
      </w:r>
      <w:r w:rsidR="00831592" w:rsidRPr="00EE3A6E">
        <w:rPr>
          <w:rFonts w:ascii="IBM Plex Sans" w:eastAsia="Times New Roman" w:hAnsi="IBM Plex Sans" w:cs="Arial"/>
          <w:sz w:val="24"/>
          <w:szCs w:val="24"/>
        </w:rPr>
        <w:t>s aim is to facilitate</w:t>
      </w:r>
      <w:r w:rsidRPr="00EE3A6E">
        <w:rPr>
          <w:rFonts w:ascii="IBM Plex Sans" w:eastAsia="Times New Roman" w:hAnsi="IBM Plex Sans" w:cs="Arial"/>
          <w:sz w:val="24"/>
          <w:szCs w:val="24"/>
        </w:rPr>
        <w:t xml:space="preserve"> the participation of Distributed Energy Resources (DERs) in wholesale energy markets within the US.</w:t>
      </w:r>
    </w:p>
    <w:p w14:paraId="2F19DB71" w14:textId="77777777" w:rsidR="0090116E" w:rsidRPr="00EE3A6E" w:rsidRDefault="0090116E" w:rsidP="00E84700">
      <w:pPr>
        <w:spacing w:after="0" w:line="240" w:lineRule="auto"/>
        <w:jc w:val="both"/>
        <w:rPr>
          <w:rFonts w:ascii="IBM Plex Sans" w:eastAsia="Times New Roman" w:hAnsi="IBM Plex Sans" w:cs="Arial"/>
          <w:sz w:val="24"/>
          <w:szCs w:val="24"/>
        </w:rPr>
      </w:pPr>
    </w:p>
    <w:p w14:paraId="69572F7D" w14:textId="77777777" w:rsidR="0090116E" w:rsidRPr="00EE3A6E" w:rsidRDefault="0090116E" w:rsidP="00E84700">
      <w:pPr>
        <w:spacing w:after="0" w:line="240" w:lineRule="auto"/>
        <w:jc w:val="both"/>
        <w:rPr>
          <w:rFonts w:ascii="IBM Plex Sans" w:eastAsia="Times New Roman" w:hAnsi="IBM Plex Sans" w:cs="Arial"/>
          <w:sz w:val="24"/>
          <w:szCs w:val="24"/>
        </w:rPr>
      </w:pPr>
      <w:r w:rsidRPr="00EE3A6E">
        <w:rPr>
          <w:rFonts w:ascii="IBM Plex Sans" w:eastAsia="Times New Roman" w:hAnsi="IBM Plex Sans" w:cs="Arial"/>
          <w:sz w:val="24"/>
          <w:szCs w:val="24"/>
        </w:rPr>
        <w:t>Other countries might have their own regulatory frameworks or policies regarding the integration of DERs into their energy markets. While there might not be identical orders to FERC 2222 in other countries, many nations have been working on similar initiatives to promote the integration of renewable energy and DERs in their respective energy systems.</w:t>
      </w:r>
    </w:p>
    <w:p w14:paraId="1DD19776" w14:textId="77777777" w:rsidR="0090116E" w:rsidRPr="00EE3A6E" w:rsidRDefault="0090116E" w:rsidP="00E84700">
      <w:pPr>
        <w:spacing w:after="0" w:line="240" w:lineRule="auto"/>
        <w:jc w:val="both"/>
        <w:rPr>
          <w:rFonts w:ascii="IBM Plex Sans" w:eastAsia="Times New Roman" w:hAnsi="IBM Plex Sans" w:cs="Arial"/>
          <w:sz w:val="24"/>
          <w:szCs w:val="24"/>
        </w:rPr>
      </w:pPr>
    </w:p>
    <w:p w14:paraId="40DA52DF" w14:textId="37DB835B" w:rsidR="0049688A" w:rsidRDefault="0090116E" w:rsidP="00E84700">
      <w:pPr>
        <w:spacing w:after="0" w:line="240" w:lineRule="auto"/>
        <w:jc w:val="both"/>
        <w:rPr>
          <w:rFonts w:ascii="IBM Plex Sans" w:eastAsia="Times New Roman" w:hAnsi="IBM Plex Sans" w:cs="Arial"/>
          <w:sz w:val="24"/>
          <w:szCs w:val="24"/>
        </w:rPr>
      </w:pPr>
      <w:r w:rsidRPr="00EE3A6E">
        <w:rPr>
          <w:rFonts w:ascii="IBM Plex Sans" w:eastAsia="Times New Roman" w:hAnsi="IBM Plex Sans" w:cs="Arial"/>
          <w:sz w:val="24"/>
          <w:szCs w:val="24"/>
        </w:rPr>
        <w:t>Some countries have implemented policies that encourage DER participation in wholesale markets, foster renewable energy adoption, and promote grid modernization. These initiatives are often tailored to suit the specific energy landscape, regulatory environment, and energy goals of each country.</w:t>
      </w:r>
    </w:p>
    <w:p w14:paraId="08D4CDD5" w14:textId="77777777" w:rsidR="00E84700" w:rsidRDefault="00E84700" w:rsidP="00AB45A7">
      <w:pPr>
        <w:spacing w:after="0" w:line="240" w:lineRule="auto"/>
        <w:jc w:val="both"/>
        <w:rPr>
          <w:rFonts w:ascii="IBM Plex Sans" w:eastAsia="Times New Roman" w:hAnsi="IBM Plex Sans" w:cs="Arial"/>
          <w:sz w:val="24"/>
          <w:szCs w:val="24"/>
        </w:rPr>
      </w:pPr>
    </w:p>
    <w:p w14:paraId="5ECE79F5" w14:textId="73A48024" w:rsidR="0090116E" w:rsidRPr="00EE3A6E" w:rsidRDefault="0090116E" w:rsidP="00AB45A7">
      <w:pPr>
        <w:spacing w:after="0" w:line="240" w:lineRule="auto"/>
        <w:jc w:val="both"/>
        <w:rPr>
          <w:rFonts w:ascii="IBM Plex Sans" w:eastAsia="Times New Roman" w:hAnsi="IBM Plex Sans" w:cs="Arial"/>
          <w:sz w:val="24"/>
          <w:szCs w:val="24"/>
        </w:rPr>
      </w:pPr>
      <w:r w:rsidRPr="00EE3A6E">
        <w:rPr>
          <w:rFonts w:ascii="IBM Plex Sans" w:eastAsia="Times New Roman" w:hAnsi="IBM Plex Sans" w:cs="Arial"/>
          <w:sz w:val="24"/>
          <w:szCs w:val="24"/>
        </w:rPr>
        <w:t xml:space="preserve">Examples of initiatives and policies in other countries related to DER integration and renewable energy </w:t>
      </w:r>
      <w:r w:rsidR="0049688A" w:rsidRPr="00EE3A6E">
        <w:rPr>
          <w:rFonts w:ascii="IBM Plex Sans" w:eastAsia="Times New Roman" w:hAnsi="IBM Plex Sans" w:cs="Arial"/>
          <w:sz w:val="24"/>
          <w:szCs w:val="24"/>
        </w:rPr>
        <w:t xml:space="preserve">are listed below. </w:t>
      </w:r>
    </w:p>
    <w:p w14:paraId="3B0B7143" w14:textId="29FAE08D" w:rsidR="00073CF0" w:rsidRPr="00EE3A6E" w:rsidRDefault="0090116E" w:rsidP="00AB45A7">
      <w:pPr>
        <w:pStyle w:val="ListParagraph"/>
        <w:numPr>
          <w:ilvl w:val="0"/>
          <w:numId w:val="15"/>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European Union (EU) Initiatives:</w:t>
      </w:r>
      <w:r w:rsidRPr="00EE3A6E">
        <w:rPr>
          <w:rFonts w:ascii="IBM Plex Sans" w:eastAsiaTheme="majorEastAsia" w:hAnsi="IBM Plex Sans" w:cstheme="majorBidi"/>
          <w:noProof/>
          <w:sz w:val="24"/>
          <w:szCs w:val="24"/>
        </w:rPr>
        <w:t xml:space="preserve"> The EU has several directives and policies to promote renewable energy and increase the share of renewables in the energy mix. The Clean Energy for All Europeans package and the EU Renewable Energy Directive are some examples of efforts to encourage the participation of renewables, including DERs, in energy markets across EU member states.</w:t>
      </w:r>
    </w:p>
    <w:p w14:paraId="7C0393F7" w14:textId="0ED41F75" w:rsidR="00073CF0" w:rsidRPr="00EE3A6E" w:rsidRDefault="0090116E" w:rsidP="00AB45A7">
      <w:pPr>
        <w:pStyle w:val="ListParagraph"/>
        <w:numPr>
          <w:ilvl w:val="0"/>
          <w:numId w:val="15"/>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Australia's National Electricity Market (NEM):</w:t>
      </w:r>
      <w:r w:rsidRPr="00EE3A6E">
        <w:rPr>
          <w:rFonts w:ascii="IBM Plex Sans" w:eastAsiaTheme="majorEastAsia" w:hAnsi="IBM Plex Sans" w:cstheme="majorBidi"/>
          <w:noProof/>
          <w:sz w:val="24"/>
          <w:szCs w:val="24"/>
        </w:rPr>
        <w:t xml:space="preserve"> The Australian Energy Market Operator (AEMO) has been working on reforms to accommodate DERs in the NEM. Initiatives like the Distributed Energy Resources Integration Trials and the National Electricity Rules changes aim to enable DER participation in wholesale markets.</w:t>
      </w:r>
    </w:p>
    <w:p w14:paraId="7AF94BDC" w14:textId="4249036C" w:rsidR="00073CF0" w:rsidRPr="00EE3A6E" w:rsidRDefault="0090116E" w:rsidP="00AB45A7">
      <w:pPr>
        <w:pStyle w:val="ListParagraph"/>
        <w:numPr>
          <w:ilvl w:val="0"/>
          <w:numId w:val="15"/>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Germany's Renewable Energy Act (EEG):</w:t>
      </w:r>
      <w:r w:rsidRPr="00EE3A6E">
        <w:rPr>
          <w:rFonts w:ascii="IBM Plex Sans" w:eastAsiaTheme="majorEastAsia" w:hAnsi="IBM Plex Sans" w:cstheme="majorBidi"/>
          <w:noProof/>
          <w:sz w:val="24"/>
          <w:szCs w:val="24"/>
        </w:rPr>
        <w:t xml:space="preserve"> Germany's EEG provides a framework for promoting renewable energy sources, including decentralized generation from solar, wind, and biomass. The EEG includes feed-in tariffs and incentives for small-scale renewable installations.</w:t>
      </w:r>
    </w:p>
    <w:p w14:paraId="3CA55F55" w14:textId="324D2B4D" w:rsidR="00073CF0" w:rsidRPr="00EE3A6E" w:rsidRDefault="0090116E" w:rsidP="00AB45A7">
      <w:pPr>
        <w:pStyle w:val="ListParagraph"/>
        <w:numPr>
          <w:ilvl w:val="0"/>
          <w:numId w:val="15"/>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Japan's Feed-in Tariff Scheme:</w:t>
      </w:r>
      <w:r w:rsidRPr="00EE3A6E">
        <w:rPr>
          <w:rFonts w:ascii="IBM Plex Sans" w:eastAsiaTheme="majorEastAsia" w:hAnsi="IBM Plex Sans" w:cstheme="majorBidi"/>
          <w:noProof/>
          <w:sz w:val="24"/>
          <w:szCs w:val="24"/>
        </w:rPr>
        <w:t xml:space="preserve"> Japan introduced a feed-in tariff scheme to encourage the adoption of renewable energy, including solar, wind, and small hydro power. This policy aims to foster the development of renewable energy projects and support DER integration.</w:t>
      </w:r>
    </w:p>
    <w:p w14:paraId="7115C256" w14:textId="3AE9D6A0" w:rsidR="00073CF0" w:rsidRPr="00EE3A6E" w:rsidRDefault="0090116E" w:rsidP="00AB45A7">
      <w:pPr>
        <w:pStyle w:val="ListParagraph"/>
        <w:numPr>
          <w:ilvl w:val="0"/>
          <w:numId w:val="15"/>
        </w:numPr>
        <w:jc w:val="both"/>
        <w:rPr>
          <w:rFonts w:ascii="IBM Plex Sans" w:eastAsiaTheme="majorEastAsia" w:hAnsi="IBM Plex Sans" w:cstheme="majorBidi"/>
          <w:noProof/>
          <w:sz w:val="24"/>
          <w:szCs w:val="24"/>
        </w:rPr>
      </w:pPr>
      <w:r w:rsidRPr="00EE3A6E">
        <w:rPr>
          <w:rFonts w:ascii="IBM Plex Sans" w:eastAsiaTheme="majorEastAsia" w:hAnsi="IBM Plex Sans" w:cstheme="majorBidi"/>
          <w:b/>
          <w:bCs/>
          <w:noProof/>
          <w:sz w:val="24"/>
          <w:szCs w:val="24"/>
        </w:rPr>
        <w:t>United Kingdom's Smart Export Guarantee (SEG):</w:t>
      </w:r>
      <w:r w:rsidRPr="00EE3A6E">
        <w:rPr>
          <w:rFonts w:ascii="IBM Plex Sans" w:eastAsiaTheme="majorEastAsia" w:hAnsi="IBM Plex Sans" w:cstheme="majorBidi"/>
          <w:noProof/>
          <w:sz w:val="24"/>
          <w:szCs w:val="24"/>
        </w:rPr>
        <w:t xml:space="preserve"> The SEG is a policy that requires large energy suppliers to offer payment for excess electricity exported </w:t>
      </w:r>
      <w:r w:rsidRPr="00EE3A6E">
        <w:rPr>
          <w:rFonts w:ascii="IBM Plex Sans" w:eastAsiaTheme="majorEastAsia" w:hAnsi="IBM Plex Sans" w:cstheme="majorBidi"/>
          <w:noProof/>
          <w:sz w:val="24"/>
          <w:szCs w:val="24"/>
        </w:rPr>
        <w:lastRenderedPageBreak/>
        <w:t>to the grid by small-scale generators, including residential solar panels. It incentivizes DER owners to participate in the energy market.</w:t>
      </w:r>
    </w:p>
    <w:p w14:paraId="36F772B8" w14:textId="0B9B8B99" w:rsidR="0090116E" w:rsidRPr="00EE3A6E" w:rsidRDefault="0090116E" w:rsidP="00AB45A7">
      <w:pPr>
        <w:spacing w:after="0" w:line="240" w:lineRule="auto"/>
        <w:jc w:val="both"/>
        <w:rPr>
          <w:rFonts w:ascii="IBM Plex Sans" w:eastAsia="Times New Roman" w:hAnsi="IBM Plex Sans" w:cs="Arial"/>
          <w:sz w:val="24"/>
          <w:szCs w:val="24"/>
        </w:rPr>
      </w:pPr>
      <w:r w:rsidRPr="00EE3A6E">
        <w:rPr>
          <w:rFonts w:ascii="IBM Plex Sans" w:eastAsia="Times New Roman" w:hAnsi="IBM Plex Sans" w:cs="Arial"/>
          <w:sz w:val="24"/>
          <w:szCs w:val="24"/>
        </w:rPr>
        <w:t xml:space="preserve">These are </w:t>
      </w:r>
      <w:r w:rsidR="00A83712">
        <w:rPr>
          <w:rFonts w:ascii="IBM Plex Sans" w:eastAsia="Times New Roman" w:hAnsi="IBM Plex Sans" w:cs="Arial"/>
          <w:sz w:val="24"/>
          <w:szCs w:val="24"/>
        </w:rPr>
        <w:t>few</w:t>
      </w:r>
      <w:r w:rsidR="00831592" w:rsidRPr="00EE3A6E">
        <w:rPr>
          <w:rFonts w:ascii="IBM Plex Sans" w:eastAsia="Times New Roman" w:hAnsi="IBM Plex Sans" w:cs="Arial"/>
          <w:sz w:val="24"/>
          <w:szCs w:val="24"/>
        </w:rPr>
        <w:t xml:space="preserve"> </w:t>
      </w:r>
      <w:r w:rsidRPr="00EE3A6E">
        <w:rPr>
          <w:rFonts w:ascii="IBM Plex Sans" w:eastAsia="Times New Roman" w:hAnsi="IBM Plex Sans" w:cs="Arial"/>
          <w:sz w:val="24"/>
          <w:szCs w:val="24"/>
        </w:rPr>
        <w:t>examples of how different countries have developed policies and initiatives to integrate DERs and promote renewable energy. As the global energy landscape continues to evolve, more countries are likely to adopt similar measures to enhance the role of DERs and renewable energy in their energy systems. For the most up-to-date information on specific policies in other countries, it's best to refer to official government sources and energy regulatory authorities in those regions.</w:t>
      </w:r>
    </w:p>
    <w:p w14:paraId="78B12694" w14:textId="6D15C6ED" w:rsidR="00CF2677" w:rsidRPr="00AB45A7" w:rsidRDefault="00CF2677" w:rsidP="00AB45A7">
      <w:pPr>
        <w:pStyle w:val="Heading1"/>
        <w:jc w:val="both"/>
        <w:rPr>
          <w:rFonts w:ascii="IBM Plex Sans" w:hAnsi="IBM Plex Sans"/>
          <w:caps/>
          <w:noProof/>
          <w:color w:val="0070C0"/>
          <w:sz w:val="32"/>
          <w:szCs w:val="32"/>
        </w:rPr>
      </w:pPr>
      <w:bookmarkStart w:id="6" w:name="_Toc141807439"/>
      <w:r w:rsidRPr="00AB45A7">
        <w:rPr>
          <w:rFonts w:ascii="IBM Plex Sans" w:hAnsi="IBM Plex Sans"/>
          <w:noProof/>
          <w:color w:val="0070C0"/>
          <w:sz w:val="32"/>
          <w:szCs w:val="32"/>
        </w:rPr>
        <w:t>Bibliography</w:t>
      </w:r>
      <w:bookmarkEnd w:id="6"/>
    </w:p>
    <w:p w14:paraId="3AC068AF" w14:textId="77777777" w:rsidR="00070A0C" w:rsidRDefault="00FC6D10" w:rsidP="00E84700">
      <w:pPr>
        <w:pStyle w:val="Graphic"/>
        <w:numPr>
          <w:ilvl w:val="0"/>
          <w:numId w:val="14"/>
        </w:numPr>
        <w:ind w:right="90"/>
        <w:jc w:val="both"/>
        <w:rPr>
          <w:rFonts w:ascii="IBM Plex Sans" w:hAnsi="IBM Plex Sans"/>
          <w:noProof/>
          <w:sz w:val="20"/>
          <w:szCs w:val="20"/>
        </w:rPr>
      </w:pPr>
      <w:r w:rsidRPr="00E84700">
        <w:rPr>
          <w:rFonts w:ascii="IBM Plex Sans" w:hAnsi="IBM Plex Sans"/>
          <w:noProof/>
          <w:sz w:val="20"/>
          <w:szCs w:val="20"/>
        </w:rPr>
        <w:t xml:space="preserve">Federal Energy Regulatory Commission (FERC). (2020, September 17). FERC Order No. 2222: Participation of Distributed Energy Resource Aggregations in Markets Operated by Regional Transmission Organizations and Independent System Operators. Retrieved from </w:t>
      </w:r>
      <w:r w:rsidR="00186D40" w:rsidRPr="00E84700">
        <w:rPr>
          <w:rFonts w:ascii="IBM Plex Sans" w:hAnsi="IBM Plex Sans"/>
          <w:noProof/>
          <w:sz w:val="20"/>
          <w:szCs w:val="20"/>
        </w:rPr>
        <w:t xml:space="preserve"> </w:t>
      </w:r>
    </w:p>
    <w:p w14:paraId="3B23FC0F" w14:textId="35FEEFD4" w:rsidR="00FC6D10" w:rsidRPr="00E84700" w:rsidRDefault="001249BA" w:rsidP="00070A0C">
      <w:pPr>
        <w:pStyle w:val="Graphic"/>
        <w:ind w:left="720" w:right="90"/>
        <w:jc w:val="both"/>
        <w:rPr>
          <w:rFonts w:ascii="IBM Plex Sans" w:hAnsi="IBM Plex Sans"/>
          <w:noProof/>
          <w:sz w:val="20"/>
          <w:szCs w:val="20"/>
        </w:rPr>
      </w:pPr>
      <w:hyperlink r:id="rId16" w:history="1">
        <w:r w:rsidR="00B53DE1" w:rsidRPr="00B04C2F">
          <w:rPr>
            <w:rStyle w:val="Hyperlink"/>
            <w:rFonts w:ascii="IBM Plex Sans" w:hAnsi="IBM Plex Sans"/>
            <w:noProof/>
            <w:sz w:val="20"/>
            <w:szCs w:val="20"/>
          </w:rPr>
          <w:t>https://www.ferc.gov/whats-new/comm-meet/2020/091720/E-1.pdf</w:t>
        </w:r>
      </w:hyperlink>
    </w:p>
    <w:p w14:paraId="5102F157" w14:textId="77777777" w:rsidR="00070A0C" w:rsidRDefault="00FC6D10" w:rsidP="00E84700">
      <w:pPr>
        <w:pStyle w:val="Graphic"/>
        <w:numPr>
          <w:ilvl w:val="0"/>
          <w:numId w:val="14"/>
        </w:numPr>
        <w:ind w:right="90"/>
        <w:jc w:val="both"/>
        <w:rPr>
          <w:rFonts w:ascii="IBM Plex Sans" w:hAnsi="IBM Plex Sans"/>
          <w:sz w:val="20"/>
          <w:szCs w:val="20"/>
        </w:rPr>
      </w:pPr>
      <w:r w:rsidRPr="00E84700">
        <w:rPr>
          <w:rFonts w:ascii="IBM Plex Sans" w:hAnsi="IBM Plex Sans"/>
          <w:noProof/>
          <w:sz w:val="20"/>
          <w:szCs w:val="20"/>
        </w:rPr>
        <w:t>National Renewable Energy Laboratory (NREL). (202</w:t>
      </w:r>
      <w:r w:rsidR="00D3331F" w:rsidRPr="00E84700">
        <w:rPr>
          <w:rFonts w:ascii="IBM Plex Sans" w:hAnsi="IBM Plex Sans"/>
          <w:noProof/>
          <w:sz w:val="20"/>
          <w:szCs w:val="20"/>
        </w:rPr>
        <w:t>1</w:t>
      </w:r>
      <w:r w:rsidRPr="00E84700">
        <w:rPr>
          <w:rFonts w:ascii="IBM Plex Sans" w:hAnsi="IBM Plex Sans"/>
          <w:noProof/>
          <w:sz w:val="20"/>
          <w:szCs w:val="20"/>
        </w:rPr>
        <w:t xml:space="preserve">, </w:t>
      </w:r>
      <w:r w:rsidR="00D3331F" w:rsidRPr="00E84700">
        <w:rPr>
          <w:rFonts w:ascii="IBM Plex Sans" w:hAnsi="IBM Plex Sans"/>
          <w:noProof/>
          <w:sz w:val="20"/>
          <w:szCs w:val="20"/>
        </w:rPr>
        <w:t>September</w:t>
      </w:r>
      <w:r w:rsidRPr="00E84700">
        <w:rPr>
          <w:rFonts w:ascii="IBM Plex Sans" w:hAnsi="IBM Plex Sans"/>
          <w:noProof/>
          <w:sz w:val="20"/>
          <w:szCs w:val="20"/>
        </w:rPr>
        <w:t xml:space="preserve">). </w:t>
      </w:r>
      <w:r w:rsidR="0088213F" w:rsidRPr="00E84700">
        <w:rPr>
          <w:rFonts w:ascii="IBM Plex Sans" w:hAnsi="IBM Plex Sans"/>
          <w:noProof/>
          <w:sz w:val="20"/>
          <w:szCs w:val="20"/>
        </w:rPr>
        <w:t>A Primer on FERC Order No. 2222</w:t>
      </w:r>
      <w:r w:rsidRPr="00E84700">
        <w:rPr>
          <w:rFonts w:ascii="IBM Plex Sans" w:hAnsi="IBM Plex Sans"/>
          <w:noProof/>
          <w:sz w:val="20"/>
          <w:szCs w:val="20"/>
        </w:rPr>
        <w:t xml:space="preserve">. Retrieved from </w:t>
      </w:r>
    </w:p>
    <w:p w14:paraId="6E899EEB" w14:textId="1F421D0A" w:rsidR="00FC6D10" w:rsidRPr="00AB6189" w:rsidRDefault="001249BA" w:rsidP="00070A0C">
      <w:pPr>
        <w:pStyle w:val="Graphic"/>
        <w:ind w:left="720" w:right="90"/>
        <w:jc w:val="both"/>
        <w:rPr>
          <w:rStyle w:val="Hyperlink"/>
          <w:rFonts w:ascii="IBM Plex Sans" w:hAnsi="IBM Plex Sans"/>
          <w:noProof/>
        </w:rPr>
      </w:pPr>
      <w:hyperlink r:id="rId17" w:history="1">
        <w:r w:rsidR="00070A0C" w:rsidRPr="00AB6189">
          <w:rPr>
            <w:rStyle w:val="Hyperlink"/>
            <w:rFonts w:ascii="IBM Plex Sans" w:hAnsi="IBM Plex Sans"/>
            <w:noProof/>
            <w:sz w:val="20"/>
            <w:szCs w:val="20"/>
          </w:rPr>
          <w:t>https://www.nrel.gov/docs/fy21osti/80166.pdf</w:t>
        </w:r>
      </w:hyperlink>
    </w:p>
    <w:p w14:paraId="376BE836" w14:textId="77777777" w:rsidR="00070A0C" w:rsidRDefault="00FC6D10" w:rsidP="00E84700">
      <w:pPr>
        <w:pStyle w:val="Graphic"/>
        <w:numPr>
          <w:ilvl w:val="0"/>
          <w:numId w:val="14"/>
        </w:numPr>
        <w:ind w:right="90"/>
        <w:jc w:val="both"/>
        <w:rPr>
          <w:rFonts w:ascii="IBM Plex Sans" w:hAnsi="IBM Plex Sans"/>
          <w:noProof/>
          <w:sz w:val="20"/>
          <w:szCs w:val="20"/>
        </w:rPr>
      </w:pPr>
      <w:r w:rsidRPr="00E84700">
        <w:rPr>
          <w:rFonts w:ascii="IBM Plex Sans" w:hAnsi="IBM Plex Sans"/>
          <w:noProof/>
          <w:sz w:val="20"/>
          <w:szCs w:val="20"/>
        </w:rPr>
        <w:t xml:space="preserve">GreenTech Media (GTM). (2020, September 17). FERC Approves Landmark Order 2222-A, Opening Wholesale Markets to Distributed Energy Resources. Retrieved from </w:t>
      </w:r>
    </w:p>
    <w:p w14:paraId="30A2848C" w14:textId="1CDF8963" w:rsidR="00FC6D10" w:rsidRPr="00E84700" w:rsidRDefault="001249BA" w:rsidP="00070A0C">
      <w:pPr>
        <w:pStyle w:val="Graphic"/>
        <w:ind w:left="720" w:right="90"/>
        <w:jc w:val="both"/>
        <w:rPr>
          <w:rFonts w:ascii="IBM Plex Sans" w:hAnsi="IBM Plex Sans"/>
          <w:noProof/>
          <w:sz w:val="20"/>
          <w:szCs w:val="20"/>
        </w:rPr>
      </w:pPr>
      <w:hyperlink r:id="rId18" w:history="1">
        <w:r w:rsidR="00070A0C" w:rsidRPr="00B04C2F">
          <w:rPr>
            <w:rStyle w:val="Hyperlink"/>
            <w:rFonts w:ascii="IBM Plex Sans" w:hAnsi="IBM Plex Sans"/>
            <w:noProof/>
            <w:sz w:val="20"/>
            <w:szCs w:val="20"/>
          </w:rPr>
          <w:t>https://www.greentechmedia.com/articles/read/ferc-orders-grid-operators-to-open-wholesale-markets-to-distributed-energy-resources</w:t>
        </w:r>
      </w:hyperlink>
    </w:p>
    <w:p w14:paraId="1EE05FD8" w14:textId="419EB7D4" w:rsidR="00070A0C" w:rsidRPr="00070A0C" w:rsidRDefault="00FC6D10" w:rsidP="00E84700">
      <w:pPr>
        <w:pStyle w:val="Graphic"/>
        <w:numPr>
          <w:ilvl w:val="0"/>
          <w:numId w:val="14"/>
        </w:numPr>
        <w:ind w:right="90"/>
        <w:jc w:val="both"/>
        <w:rPr>
          <w:rFonts w:ascii="IBM Plex Sans" w:hAnsi="IBM Plex Sans"/>
          <w:noProof/>
          <w:sz w:val="20"/>
          <w:szCs w:val="20"/>
          <w:u w:val="single"/>
        </w:rPr>
      </w:pPr>
      <w:r w:rsidRPr="00E84700">
        <w:rPr>
          <w:rFonts w:ascii="IBM Plex Sans" w:hAnsi="IBM Plex Sans"/>
          <w:noProof/>
          <w:sz w:val="20"/>
          <w:szCs w:val="20"/>
        </w:rPr>
        <w:t>Utility Dive. (202</w:t>
      </w:r>
      <w:r w:rsidR="00B53DE1">
        <w:rPr>
          <w:rFonts w:ascii="IBM Plex Sans" w:hAnsi="IBM Plex Sans"/>
          <w:noProof/>
          <w:sz w:val="20"/>
          <w:szCs w:val="20"/>
        </w:rPr>
        <w:t>1</w:t>
      </w:r>
      <w:r w:rsidRPr="00E84700">
        <w:rPr>
          <w:rFonts w:ascii="IBM Plex Sans" w:hAnsi="IBM Plex Sans"/>
          <w:noProof/>
          <w:sz w:val="20"/>
          <w:szCs w:val="20"/>
        </w:rPr>
        <w:t xml:space="preserve">, </w:t>
      </w:r>
      <w:r w:rsidR="00B53DE1">
        <w:rPr>
          <w:rFonts w:ascii="IBM Plex Sans" w:hAnsi="IBM Plex Sans"/>
          <w:noProof/>
          <w:sz w:val="20"/>
          <w:szCs w:val="20"/>
        </w:rPr>
        <w:t>July</w:t>
      </w:r>
      <w:r w:rsidRPr="00E84700">
        <w:rPr>
          <w:rFonts w:ascii="IBM Plex Sans" w:hAnsi="IBM Plex Sans"/>
          <w:noProof/>
          <w:sz w:val="20"/>
          <w:szCs w:val="20"/>
        </w:rPr>
        <w:t xml:space="preserve"> </w:t>
      </w:r>
      <w:r w:rsidR="00B53DE1">
        <w:rPr>
          <w:rFonts w:ascii="IBM Plex Sans" w:hAnsi="IBM Plex Sans"/>
          <w:noProof/>
          <w:sz w:val="20"/>
          <w:szCs w:val="20"/>
        </w:rPr>
        <w:t>15</w:t>
      </w:r>
      <w:r w:rsidRPr="00E84700">
        <w:rPr>
          <w:rFonts w:ascii="IBM Plex Sans" w:hAnsi="IBM Plex Sans"/>
          <w:noProof/>
          <w:sz w:val="20"/>
          <w:szCs w:val="20"/>
        </w:rPr>
        <w:t xml:space="preserve">). </w:t>
      </w:r>
      <w:r w:rsidR="00B53DE1" w:rsidRPr="00B53DE1">
        <w:rPr>
          <w:rFonts w:ascii="IBM Plex Sans" w:hAnsi="IBM Plex Sans"/>
          <w:noProof/>
          <w:sz w:val="20"/>
          <w:szCs w:val="20"/>
        </w:rPr>
        <w:t>The DER future is nearly here? Stuck in the weeds on Order No. 2222 implementation.</w:t>
      </w:r>
      <w:r w:rsidRPr="00E84700">
        <w:rPr>
          <w:rFonts w:ascii="IBM Plex Sans" w:hAnsi="IBM Plex Sans"/>
          <w:noProof/>
          <w:sz w:val="20"/>
          <w:szCs w:val="20"/>
        </w:rPr>
        <w:t xml:space="preserve"> Retrieved from </w:t>
      </w:r>
    </w:p>
    <w:p w14:paraId="2689C9CF" w14:textId="0388C8C4" w:rsidR="00B53DE1" w:rsidRPr="00AB6189" w:rsidRDefault="00B53DE1" w:rsidP="00DD0A4B">
      <w:pPr>
        <w:pStyle w:val="Graphic"/>
        <w:ind w:left="720" w:right="90"/>
        <w:jc w:val="both"/>
        <w:rPr>
          <w:rStyle w:val="Hyperlink"/>
          <w:rFonts w:ascii="IBM Plex Sans" w:hAnsi="IBM Plex Sans"/>
          <w:noProof/>
          <w:sz w:val="20"/>
          <w:szCs w:val="20"/>
        </w:rPr>
      </w:pPr>
      <w:r w:rsidRPr="00AB6189">
        <w:rPr>
          <w:rStyle w:val="Hyperlink"/>
          <w:rFonts w:ascii="IBM Plex Sans" w:hAnsi="IBM Plex Sans"/>
          <w:sz w:val="20"/>
          <w:szCs w:val="20"/>
        </w:rPr>
        <w:t xml:space="preserve">https://www.utilitydive.com/news/the-der-future-is-nearly-here-stuck-in-the-weeds-on-order-no-2222-impleme/603300/ </w:t>
      </w:r>
    </w:p>
    <w:p w14:paraId="3C04FD2B" w14:textId="648D9493" w:rsidR="00070A0C" w:rsidRPr="00070A0C" w:rsidRDefault="00FC6D10" w:rsidP="00070A0C">
      <w:pPr>
        <w:pStyle w:val="Graphic"/>
        <w:numPr>
          <w:ilvl w:val="0"/>
          <w:numId w:val="14"/>
        </w:numPr>
        <w:ind w:right="90"/>
        <w:rPr>
          <w:rFonts w:ascii="IBM Plex Sans" w:hAnsi="IBM Plex Sans"/>
          <w:sz w:val="20"/>
          <w:szCs w:val="20"/>
          <w:u w:val="single"/>
        </w:rPr>
      </w:pPr>
      <w:r w:rsidRPr="00070A0C">
        <w:rPr>
          <w:rFonts w:ascii="IBM Plex Sans" w:hAnsi="IBM Plex Sans"/>
          <w:noProof/>
          <w:sz w:val="20"/>
          <w:szCs w:val="20"/>
        </w:rPr>
        <w:t>Solar Power World. (2020, September 17). FERC 2222 opens wholesale energy markets to distributed energy resource aggregations. Retrieved from</w:t>
      </w:r>
      <w:r w:rsidR="00070A0C">
        <w:rPr>
          <w:rFonts w:ascii="IBM Plex Sans" w:hAnsi="IBM Plex Sans"/>
          <w:noProof/>
          <w:sz w:val="20"/>
          <w:szCs w:val="20"/>
        </w:rPr>
        <w:t xml:space="preserve"> </w:t>
      </w:r>
    </w:p>
    <w:p w14:paraId="63D06BAA" w14:textId="7E847EE4" w:rsidR="00FC6D10" w:rsidRPr="00070A0C" w:rsidRDefault="004662FF" w:rsidP="00070A0C">
      <w:pPr>
        <w:pStyle w:val="Graphic"/>
        <w:ind w:left="720" w:right="90"/>
        <w:rPr>
          <w:rStyle w:val="Hyperlink"/>
          <w:rFonts w:ascii="IBM Plex Sans" w:hAnsi="IBM Plex Sans"/>
          <w:color w:val="auto"/>
          <w:sz w:val="20"/>
          <w:szCs w:val="20"/>
        </w:rPr>
      </w:pPr>
      <w:r w:rsidRPr="00070A0C">
        <w:rPr>
          <w:rStyle w:val="Hyperlink"/>
          <w:rFonts w:ascii="IBM Plex Sans" w:hAnsi="IBM Plex Sans"/>
          <w:noProof/>
          <w:color w:val="auto"/>
          <w:sz w:val="20"/>
          <w:szCs w:val="20"/>
        </w:rPr>
        <w:t>https://www.solarpowerworldonline.com/2020/09/ferc-order-allows-aggregated-distributed-energy-resources-to-participate-in-wholesale-markets/</w:t>
      </w:r>
    </w:p>
    <w:p w14:paraId="61329650" w14:textId="77777777" w:rsidR="00070A0C" w:rsidRPr="00070A0C" w:rsidRDefault="00FC6D10" w:rsidP="00FE370A">
      <w:pPr>
        <w:pStyle w:val="Graphic"/>
        <w:numPr>
          <w:ilvl w:val="0"/>
          <w:numId w:val="14"/>
        </w:numPr>
        <w:ind w:right="90"/>
        <w:jc w:val="both"/>
        <w:rPr>
          <w:rFonts w:ascii="IBM Plex Sans" w:hAnsi="IBM Plex Sans"/>
          <w:noProof/>
          <w:sz w:val="20"/>
          <w:szCs w:val="20"/>
          <w:u w:val="single"/>
        </w:rPr>
      </w:pPr>
      <w:r w:rsidRPr="00E84700">
        <w:rPr>
          <w:rFonts w:ascii="IBM Plex Sans" w:hAnsi="IBM Plex Sans"/>
          <w:noProof/>
          <w:sz w:val="20"/>
          <w:szCs w:val="20"/>
        </w:rPr>
        <w:t>Brattle Group. FERC Order 2222: Overview and Potential Impact on Wholesale Electricity Markets. Retrieved from</w:t>
      </w:r>
      <w:r w:rsidR="00AD3461" w:rsidRPr="00E84700">
        <w:rPr>
          <w:rFonts w:ascii="IBM Plex Sans" w:hAnsi="IBM Plex Sans"/>
          <w:noProof/>
          <w:sz w:val="20"/>
          <w:szCs w:val="20"/>
        </w:rPr>
        <w:t xml:space="preserve"> </w:t>
      </w:r>
    </w:p>
    <w:p w14:paraId="5FB348F0" w14:textId="77777777" w:rsidR="004406C1" w:rsidRDefault="001249BA" w:rsidP="004406C1">
      <w:pPr>
        <w:pStyle w:val="Graphic"/>
        <w:ind w:left="720" w:right="90"/>
        <w:jc w:val="both"/>
        <w:rPr>
          <w:rStyle w:val="Hyperlink"/>
          <w:rFonts w:ascii="IBM Plex Sans" w:hAnsi="IBM Plex Sans"/>
          <w:noProof/>
          <w:color w:val="auto"/>
          <w:sz w:val="20"/>
          <w:szCs w:val="20"/>
        </w:rPr>
      </w:pPr>
      <w:hyperlink r:id="rId19" w:history="1">
        <w:r w:rsidR="009630F3" w:rsidRPr="00DA69AF">
          <w:rPr>
            <w:rStyle w:val="Hyperlink"/>
            <w:rFonts w:ascii="IBM Plex Sans" w:hAnsi="IBM Plex Sans"/>
            <w:noProof/>
            <w:sz w:val="20"/>
            <w:szCs w:val="20"/>
          </w:rPr>
          <w:t>https://www.brattle.com/wp-content/uploads/2023/10/The-Need-for-Intertie-Optimization-Reducing-Customer-Costs-Improving-Grid-Resilience-and-Encouraging-Interregional-Transmission-Report.pdf</w:t>
        </w:r>
      </w:hyperlink>
    </w:p>
    <w:p w14:paraId="23F2AF57" w14:textId="47179FEC" w:rsidR="004406C1" w:rsidRPr="004406C1" w:rsidRDefault="004406C1" w:rsidP="004762AA">
      <w:pPr>
        <w:pStyle w:val="Graphic"/>
        <w:numPr>
          <w:ilvl w:val="0"/>
          <w:numId w:val="14"/>
        </w:numPr>
        <w:ind w:right="90"/>
        <w:jc w:val="both"/>
        <w:rPr>
          <w:rFonts w:ascii="IBM Plex Sans" w:hAnsi="IBM Plex Sans"/>
          <w:noProof/>
          <w:sz w:val="20"/>
          <w:szCs w:val="20"/>
          <w:u w:val="single"/>
        </w:rPr>
      </w:pPr>
      <w:r w:rsidRPr="004406C1">
        <w:rPr>
          <w:rFonts w:ascii="IBM Plex Sans" w:hAnsi="IBM Plex Sans"/>
          <w:noProof/>
          <w:sz w:val="20"/>
          <w:szCs w:val="20"/>
        </w:rPr>
        <w:t>FERC Order No. 2222: Fact Sheet</w:t>
      </w:r>
    </w:p>
    <w:p w14:paraId="49E8A309" w14:textId="05D91C7D" w:rsidR="000C38B8" w:rsidRPr="00EE3A6E" w:rsidRDefault="001249BA" w:rsidP="00720E3E">
      <w:pPr>
        <w:ind w:firstLine="720"/>
        <w:rPr>
          <w:rFonts w:ascii="IBM Plex Sans" w:hAnsi="IBM Plex Sans"/>
          <w:noProof/>
        </w:rPr>
      </w:pPr>
      <w:hyperlink r:id="rId20" w:history="1">
        <w:r w:rsidR="009630F3" w:rsidRPr="00DA69AF">
          <w:rPr>
            <w:rStyle w:val="Hyperlink"/>
          </w:rPr>
          <w:t>https://www.ferc.gov/media/ferc-order-no-2222-fact-sheet</w:t>
        </w:r>
      </w:hyperlink>
    </w:p>
    <w:sectPr w:rsidR="000C38B8" w:rsidRPr="00EE3A6E" w:rsidSect="00B01BDC">
      <w:footerReference w:type="even" r:id="rId21"/>
      <w:footerReference w:type="default" r:id="rId22"/>
      <w:type w:val="continuous"/>
      <w:pgSz w:w="12240" w:h="15840"/>
      <w:pgMar w:top="1440" w:right="1440" w:bottom="1440" w:left="1440" w:header="720" w:footer="22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6D702C38" w14:textId="70585AEB" w:rsidR="00EC4BDD" w:rsidRDefault="00EC4BDD" w:rsidP="0038398A">
      <w:pPr>
        <w:pStyle w:val="CommentText"/>
      </w:pPr>
      <w:r>
        <w:rPr>
          <w:rStyle w:val="CommentReference"/>
        </w:rPr>
        <w:annotationRef/>
      </w:r>
      <w:r>
        <w:t>If you did not develop this model yourself, then you need to give credit to where you pulled this model from.</w:t>
      </w:r>
    </w:p>
  </w:comment>
  <w:comment w:id="3" w:author="Author" w:initials="A">
    <w:p w14:paraId="78B7AFE3" w14:textId="77777777" w:rsidR="00AB129E" w:rsidRDefault="00AB129E" w:rsidP="00C356D3">
      <w:pPr>
        <w:pStyle w:val="CommentText"/>
      </w:pPr>
      <w:r>
        <w:rPr>
          <w:rStyle w:val="CommentReference"/>
        </w:rPr>
        <w:annotationRef/>
      </w:r>
      <w:r>
        <w:t>Yuvaraj to update and make the diagram better</w:t>
      </w:r>
    </w:p>
  </w:comment>
  <w:comment w:id="4" w:author="Author" w:initials="A">
    <w:p w14:paraId="542159A3" w14:textId="77777777" w:rsidR="00B87826" w:rsidRDefault="00B87826" w:rsidP="008176B7">
      <w:pPr>
        <w:pStyle w:val="CommentText"/>
      </w:pPr>
      <w:r>
        <w:rPr>
          <w:rStyle w:val="CommentReference"/>
        </w:rPr>
        <w:annotationRef/>
      </w:r>
      <w:r>
        <w:t xml:space="preserve">Modified the diagram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02C38" w15:done="1"/>
  <w15:commentEx w15:paraId="78B7AFE3" w15:paraIdParent="6D702C38" w15:done="1"/>
  <w15:commentEx w15:paraId="542159A3" w15:paraIdParent="6D702C3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02C38" w16cid:durableId="28B289DC"/>
  <w16cid:commentId w16cid:paraId="78B7AFE3" w16cid:durableId="28D900D8"/>
  <w16cid:commentId w16cid:paraId="542159A3" w16cid:durableId="28DFD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CCD33" w14:textId="77777777" w:rsidR="00BD7A96" w:rsidRDefault="00BD7A96" w:rsidP="00706D60">
      <w:r>
        <w:separator/>
      </w:r>
    </w:p>
  </w:endnote>
  <w:endnote w:type="continuationSeparator" w:id="0">
    <w:p w14:paraId="0F6E2EB9" w14:textId="77777777" w:rsidR="00BD7A96" w:rsidRDefault="00BD7A96" w:rsidP="00706D60">
      <w:r>
        <w:continuationSeparator/>
      </w:r>
    </w:p>
  </w:endnote>
  <w:endnote w:type="continuationNotice" w:id="1">
    <w:p w14:paraId="3F98ADC8" w14:textId="77777777" w:rsidR="00BD7A96" w:rsidRDefault="00BD7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2280505"/>
      <w:docPartObj>
        <w:docPartGallery w:val="Page Numbers (Bottom of Page)"/>
        <w:docPartUnique/>
      </w:docPartObj>
    </w:sdtPr>
    <w:sdtEndPr>
      <w:rPr>
        <w:rStyle w:val="PageNumber"/>
      </w:rPr>
    </w:sdtEndPr>
    <w:sdtContent>
      <w:p w14:paraId="57CABB6D" w14:textId="5D0303CF" w:rsidR="00B562A1" w:rsidRDefault="00B562A1" w:rsidP="00EB09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1C5E">
          <w:rPr>
            <w:rStyle w:val="PageNumber"/>
            <w:noProof/>
          </w:rPr>
          <w:t>1</w:t>
        </w:r>
        <w:r>
          <w:rPr>
            <w:rStyle w:val="PageNumber"/>
          </w:rPr>
          <w:fldChar w:fldCharType="end"/>
        </w:r>
      </w:p>
    </w:sdtContent>
  </w:sdt>
  <w:p w14:paraId="2C6FE184" w14:textId="77777777" w:rsidR="00B562A1" w:rsidRDefault="00B5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8652295"/>
      <w:docPartObj>
        <w:docPartGallery w:val="Page Numbers (Bottom of Page)"/>
        <w:docPartUnique/>
      </w:docPartObj>
    </w:sdtPr>
    <w:sdtEndPr>
      <w:rPr>
        <w:rStyle w:val="PageNumber"/>
        <w:rFonts w:ascii="Cambria" w:hAnsi="Cambria"/>
      </w:rPr>
    </w:sdtEndPr>
    <w:sdtContent>
      <w:p w14:paraId="40BE8A23" w14:textId="23231B00" w:rsidR="00B562A1" w:rsidRPr="006410E4" w:rsidRDefault="00B562A1" w:rsidP="00EB0987">
        <w:pPr>
          <w:pStyle w:val="Footer"/>
          <w:framePr w:wrap="none" w:vAnchor="text" w:hAnchor="margin" w:xAlign="right" w:y="1"/>
          <w:rPr>
            <w:rStyle w:val="PageNumber"/>
            <w:rFonts w:ascii="Cambria" w:hAnsi="Cambria"/>
          </w:rPr>
        </w:pPr>
        <w:r w:rsidRPr="006410E4">
          <w:rPr>
            <w:rStyle w:val="PageNumber"/>
            <w:rFonts w:ascii="Cambria" w:hAnsi="Cambria"/>
          </w:rPr>
          <w:fldChar w:fldCharType="begin"/>
        </w:r>
        <w:r w:rsidRPr="006410E4">
          <w:rPr>
            <w:rStyle w:val="PageNumber"/>
            <w:rFonts w:ascii="Cambria" w:hAnsi="Cambria"/>
          </w:rPr>
          <w:instrText xml:space="preserve"> PAGE </w:instrText>
        </w:r>
        <w:r w:rsidRPr="006410E4">
          <w:rPr>
            <w:rStyle w:val="PageNumber"/>
            <w:rFonts w:ascii="Cambria" w:hAnsi="Cambria"/>
          </w:rPr>
          <w:fldChar w:fldCharType="separate"/>
        </w:r>
        <w:r w:rsidRPr="006410E4">
          <w:rPr>
            <w:rStyle w:val="PageNumber"/>
            <w:rFonts w:ascii="Cambria" w:hAnsi="Cambria"/>
            <w:noProof/>
          </w:rPr>
          <w:t>1</w:t>
        </w:r>
        <w:r w:rsidRPr="006410E4">
          <w:rPr>
            <w:rStyle w:val="PageNumber"/>
            <w:rFonts w:ascii="Cambria" w:hAnsi="Cambria"/>
          </w:rPr>
          <w:fldChar w:fldCharType="end"/>
        </w:r>
      </w:p>
    </w:sdtContent>
  </w:sdt>
  <w:sdt>
    <w:sdtPr>
      <w:rPr>
        <w:rFonts w:ascii="Cambria" w:hAnsi="Cambria"/>
      </w:rPr>
      <w:id w:val="-913086428"/>
      <w:docPartObj>
        <w:docPartGallery w:val="Page Numbers (Bottom of Page)"/>
        <w:docPartUnique/>
      </w:docPartObj>
    </w:sdtPr>
    <w:sdtEndPr>
      <w:rPr>
        <w:noProof/>
      </w:rPr>
    </w:sdtEndPr>
    <w:sdtContent>
      <w:p w14:paraId="139CC383" w14:textId="0E82B8F7" w:rsidR="00B562A1" w:rsidRPr="00F96130" w:rsidRDefault="00F96130" w:rsidP="00B562A1">
        <w:pPr>
          <w:pStyle w:val="Footer"/>
          <w:jc w:val="both"/>
          <w:rPr>
            <w:rFonts w:ascii="IBM Plex Sans" w:hAnsi="IBM Plex Sans"/>
          </w:rPr>
        </w:pPr>
        <w:r w:rsidRPr="00F96130">
          <w:rPr>
            <w:rFonts w:ascii="IBM Plex Sans" w:hAnsi="IBM Plex Sans"/>
          </w:rPr>
          <w:t xml:space="preserve">IBM </w:t>
        </w:r>
        <w:r w:rsidRPr="00F96130">
          <w:rPr>
            <w:rFonts w:ascii="IBM Plex Sans" w:hAnsi="IBM Plex Sans"/>
            <w:b/>
            <w:bCs/>
          </w:rPr>
          <w:t>Consulting</w:t>
        </w:r>
      </w:p>
      <w:p w14:paraId="211E9C8F" w14:textId="615CF953" w:rsidR="00B562A1" w:rsidRPr="00F96130" w:rsidRDefault="0065538A" w:rsidP="000C1A28">
        <w:pPr>
          <w:pStyle w:val="Footer"/>
          <w:rPr>
            <w:rFonts w:ascii="IBM Plex Sans" w:hAnsi="IBM Plex Sans"/>
          </w:rPr>
        </w:pPr>
        <w:r>
          <w:rPr>
            <w:rFonts w:ascii="IBM Plex Sans" w:hAnsi="IBM Plex Sans"/>
          </w:rPr>
          <w:t>Jan</w:t>
        </w:r>
        <w:r w:rsidR="00B562A1" w:rsidRPr="00F96130">
          <w:rPr>
            <w:rFonts w:ascii="IBM Plex Sans" w:hAnsi="IBM Plex Sans"/>
          </w:rPr>
          <w:t xml:space="preserve"> 202</w:t>
        </w:r>
        <w:r>
          <w:rPr>
            <w:rFonts w:ascii="IBM Plex Sans" w:hAnsi="IBM Plex Sans"/>
          </w:rPr>
          <w:t>4</w:t>
        </w:r>
      </w:p>
      <w:p w14:paraId="2D84088B" w14:textId="3F4EDFD8" w:rsidR="00B562A1" w:rsidRPr="00F96130" w:rsidRDefault="00B562A1" w:rsidP="00B562A1">
        <w:pPr>
          <w:pStyle w:val="Footer"/>
          <w:rPr>
            <w:rFonts w:ascii="IBM Plex Sans" w:hAnsi="IBM Plex Sans"/>
          </w:rPr>
        </w:pPr>
        <w:r w:rsidRPr="00F96130">
          <w:rPr>
            <w:rFonts w:ascii="IBM Plex Sans" w:hAnsi="IBM Plex Sans"/>
          </w:rPr>
          <w:t>IBM Internal</w:t>
        </w:r>
      </w:p>
      <w:p w14:paraId="556ADEC7" w14:textId="5D5AD546" w:rsidR="00E653C0" w:rsidRDefault="001249BA" w:rsidP="00B562A1">
        <w:pPr>
          <w:pStyle w:val="Footer"/>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5B55" w14:textId="77777777" w:rsidR="00BD7A96" w:rsidRDefault="00BD7A96" w:rsidP="00706D60">
      <w:r>
        <w:separator/>
      </w:r>
    </w:p>
  </w:footnote>
  <w:footnote w:type="continuationSeparator" w:id="0">
    <w:p w14:paraId="14D5D0C0" w14:textId="77777777" w:rsidR="00BD7A96" w:rsidRDefault="00BD7A96" w:rsidP="00706D60">
      <w:r>
        <w:continuationSeparator/>
      </w:r>
    </w:p>
  </w:footnote>
  <w:footnote w:type="continuationNotice" w:id="1">
    <w:p w14:paraId="08A0BB55" w14:textId="77777777" w:rsidR="00BD7A96" w:rsidRDefault="00BD7A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CC8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73ABF"/>
    <w:multiLevelType w:val="hybridMultilevel"/>
    <w:tmpl w:val="07AA6B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4765"/>
    <w:multiLevelType w:val="hybridMultilevel"/>
    <w:tmpl w:val="748A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623CD"/>
    <w:multiLevelType w:val="hybridMultilevel"/>
    <w:tmpl w:val="562EACA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9706EC"/>
    <w:multiLevelType w:val="hybridMultilevel"/>
    <w:tmpl w:val="6C927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64383"/>
    <w:multiLevelType w:val="hybridMultilevel"/>
    <w:tmpl w:val="8E7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C64F6"/>
    <w:multiLevelType w:val="hybridMultilevel"/>
    <w:tmpl w:val="0644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F7E39"/>
    <w:multiLevelType w:val="hybridMultilevel"/>
    <w:tmpl w:val="4EE89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46EFA"/>
    <w:multiLevelType w:val="hybridMultilevel"/>
    <w:tmpl w:val="668C7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D554F"/>
    <w:multiLevelType w:val="hybridMultilevel"/>
    <w:tmpl w:val="EC82D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53303"/>
    <w:multiLevelType w:val="hybridMultilevel"/>
    <w:tmpl w:val="4A32E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147FED"/>
    <w:multiLevelType w:val="hybridMultilevel"/>
    <w:tmpl w:val="EB4E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30FCD"/>
    <w:multiLevelType w:val="hybridMultilevel"/>
    <w:tmpl w:val="ACDC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8713C"/>
    <w:multiLevelType w:val="hybridMultilevel"/>
    <w:tmpl w:val="93DE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44C0"/>
    <w:multiLevelType w:val="hybridMultilevel"/>
    <w:tmpl w:val="FD1CBBA0"/>
    <w:lvl w:ilvl="0" w:tplc="5CBE7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B6DD5"/>
    <w:multiLevelType w:val="hybridMultilevel"/>
    <w:tmpl w:val="345C2C9C"/>
    <w:lvl w:ilvl="0" w:tplc="627A624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860469">
    <w:abstractNumId w:val="0"/>
  </w:num>
  <w:num w:numId="2" w16cid:durableId="186793050">
    <w:abstractNumId w:val="2"/>
  </w:num>
  <w:num w:numId="3" w16cid:durableId="2042515431">
    <w:abstractNumId w:val="5"/>
  </w:num>
  <w:num w:numId="4" w16cid:durableId="5060603">
    <w:abstractNumId w:val="11"/>
  </w:num>
  <w:num w:numId="5" w16cid:durableId="1387221372">
    <w:abstractNumId w:val="13"/>
  </w:num>
  <w:num w:numId="6" w16cid:durableId="999384515">
    <w:abstractNumId w:val="8"/>
  </w:num>
  <w:num w:numId="7" w16cid:durableId="1472744154">
    <w:abstractNumId w:val="9"/>
  </w:num>
  <w:num w:numId="8" w16cid:durableId="1664316478">
    <w:abstractNumId w:val="12"/>
  </w:num>
  <w:num w:numId="9" w16cid:durableId="2141991105">
    <w:abstractNumId w:val="4"/>
  </w:num>
  <w:num w:numId="10" w16cid:durableId="964849956">
    <w:abstractNumId w:val="6"/>
  </w:num>
  <w:num w:numId="11" w16cid:durableId="347565575">
    <w:abstractNumId w:val="7"/>
  </w:num>
  <w:num w:numId="12" w16cid:durableId="727650654">
    <w:abstractNumId w:val="15"/>
  </w:num>
  <w:num w:numId="13" w16cid:durableId="493909610">
    <w:abstractNumId w:val="1"/>
  </w:num>
  <w:num w:numId="14" w16cid:durableId="251597372">
    <w:abstractNumId w:val="14"/>
  </w:num>
  <w:num w:numId="15" w16cid:durableId="878854532">
    <w:abstractNumId w:val="3"/>
  </w:num>
  <w:num w:numId="16" w16cid:durableId="76365227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08"/>
    <w:rsid w:val="00003513"/>
    <w:rsid w:val="00004B08"/>
    <w:rsid w:val="00004BC0"/>
    <w:rsid w:val="000071E1"/>
    <w:rsid w:val="00014E77"/>
    <w:rsid w:val="00016072"/>
    <w:rsid w:val="00016687"/>
    <w:rsid w:val="00020FC9"/>
    <w:rsid w:val="0002320F"/>
    <w:rsid w:val="0002595A"/>
    <w:rsid w:val="00033E82"/>
    <w:rsid w:val="00035C67"/>
    <w:rsid w:val="00035F17"/>
    <w:rsid w:val="0003764C"/>
    <w:rsid w:val="00037D4C"/>
    <w:rsid w:val="000411DF"/>
    <w:rsid w:val="00044305"/>
    <w:rsid w:val="00052C07"/>
    <w:rsid w:val="000561C8"/>
    <w:rsid w:val="000607BB"/>
    <w:rsid w:val="000608B1"/>
    <w:rsid w:val="00061649"/>
    <w:rsid w:val="00062F89"/>
    <w:rsid w:val="00064472"/>
    <w:rsid w:val="000700F2"/>
    <w:rsid w:val="00070A0C"/>
    <w:rsid w:val="00071670"/>
    <w:rsid w:val="000726F1"/>
    <w:rsid w:val="00072FC0"/>
    <w:rsid w:val="0007327B"/>
    <w:rsid w:val="00073CF0"/>
    <w:rsid w:val="00074E3D"/>
    <w:rsid w:val="00074F1A"/>
    <w:rsid w:val="0008174B"/>
    <w:rsid w:val="000857DA"/>
    <w:rsid w:val="00092154"/>
    <w:rsid w:val="000A0D6C"/>
    <w:rsid w:val="000A6F43"/>
    <w:rsid w:val="000B1C5E"/>
    <w:rsid w:val="000B5E2F"/>
    <w:rsid w:val="000B77BC"/>
    <w:rsid w:val="000B7FC2"/>
    <w:rsid w:val="000C1A28"/>
    <w:rsid w:val="000C2F81"/>
    <w:rsid w:val="000C38B8"/>
    <w:rsid w:val="000D1307"/>
    <w:rsid w:val="000D1502"/>
    <w:rsid w:val="000D4583"/>
    <w:rsid w:val="000D54B4"/>
    <w:rsid w:val="000D5DA3"/>
    <w:rsid w:val="000E0DC2"/>
    <w:rsid w:val="000E6061"/>
    <w:rsid w:val="000E78BF"/>
    <w:rsid w:val="000F169E"/>
    <w:rsid w:val="000F33D0"/>
    <w:rsid w:val="000F36BD"/>
    <w:rsid w:val="000F6729"/>
    <w:rsid w:val="001101AA"/>
    <w:rsid w:val="001116DD"/>
    <w:rsid w:val="0011244C"/>
    <w:rsid w:val="00112D06"/>
    <w:rsid w:val="001179FF"/>
    <w:rsid w:val="001249BA"/>
    <w:rsid w:val="00125868"/>
    <w:rsid w:val="00131E8A"/>
    <w:rsid w:val="0013247B"/>
    <w:rsid w:val="00134B09"/>
    <w:rsid w:val="00136D38"/>
    <w:rsid w:val="00136DDD"/>
    <w:rsid w:val="0014295A"/>
    <w:rsid w:val="00144C9B"/>
    <w:rsid w:val="001468EB"/>
    <w:rsid w:val="00150569"/>
    <w:rsid w:val="00151B1C"/>
    <w:rsid w:val="00153348"/>
    <w:rsid w:val="00155DB1"/>
    <w:rsid w:val="001608C3"/>
    <w:rsid w:val="00161303"/>
    <w:rsid w:val="001624D6"/>
    <w:rsid w:val="001624FF"/>
    <w:rsid w:val="0016274B"/>
    <w:rsid w:val="00163115"/>
    <w:rsid w:val="00164E6E"/>
    <w:rsid w:val="00165112"/>
    <w:rsid w:val="0017032F"/>
    <w:rsid w:val="00174880"/>
    <w:rsid w:val="001812EE"/>
    <w:rsid w:val="00182DF1"/>
    <w:rsid w:val="00183608"/>
    <w:rsid w:val="00183DF7"/>
    <w:rsid w:val="00184A71"/>
    <w:rsid w:val="00184F81"/>
    <w:rsid w:val="00186D40"/>
    <w:rsid w:val="00190621"/>
    <w:rsid w:val="0019191C"/>
    <w:rsid w:val="001930E4"/>
    <w:rsid w:val="001955AD"/>
    <w:rsid w:val="00195CFE"/>
    <w:rsid w:val="0019746A"/>
    <w:rsid w:val="00197D6D"/>
    <w:rsid w:val="001A0417"/>
    <w:rsid w:val="001A0693"/>
    <w:rsid w:val="001A13A5"/>
    <w:rsid w:val="001A14CC"/>
    <w:rsid w:val="001A70F2"/>
    <w:rsid w:val="001B6E4C"/>
    <w:rsid w:val="001C1719"/>
    <w:rsid w:val="001C1775"/>
    <w:rsid w:val="001D0FC4"/>
    <w:rsid w:val="001E2689"/>
    <w:rsid w:val="001E4712"/>
    <w:rsid w:val="001E7470"/>
    <w:rsid w:val="002003B4"/>
    <w:rsid w:val="002019C2"/>
    <w:rsid w:val="002033F3"/>
    <w:rsid w:val="00204400"/>
    <w:rsid w:val="00204AB9"/>
    <w:rsid w:val="002056BC"/>
    <w:rsid w:val="0021022B"/>
    <w:rsid w:val="00212B60"/>
    <w:rsid w:val="002174F7"/>
    <w:rsid w:val="002175A2"/>
    <w:rsid w:val="00217A15"/>
    <w:rsid w:val="0022046C"/>
    <w:rsid w:val="002256EC"/>
    <w:rsid w:val="00231824"/>
    <w:rsid w:val="002354A3"/>
    <w:rsid w:val="00240140"/>
    <w:rsid w:val="00240ECC"/>
    <w:rsid w:val="002419E6"/>
    <w:rsid w:val="002423CD"/>
    <w:rsid w:val="002437EF"/>
    <w:rsid w:val="002454DA"/>
    <w:rsid w:val="00245BA3"/>
    <w:rsid w:val="00245DD5"/>
    <w:rsid w:val="0024612C"/>
    <w:rsid w:val="0024654C"/>
    <w:rsid w:val="00246859"/>
    <w:rsid w:val="002471F4"/>
    <w:rsid w:val="00250F7A"/>
    <w:rsid w:val="00252E15"/>
    <w:rsid w:val="00257269"/>
    <w:rsid w:val="00257569"/>
    <w:rsid w:val="002615E1"/>
    <w:rsid w:val="00261DF8"/>
    <w:rsid w:val="00263091"/>
    <w:rsid w:val="00266773"/>
    <w:rsid w:val="00267D35"/>
    <w:rsid w:val="00271B26"/>
    <w:rsid w:val="00271B3C"/>
    <w:rsid w:val="002738E4"/>
    <w:rsid w:val="002837E9"/>
    <w:rsid w:val="00283FF8"/>
    <w:rsid w:val="0029534B"/>
    <w:rsid w:val="00295604"/>
    <w:rsid w:val="002974C8"/>
    <w:rsid w:val="00297EE9"/>
    <w:rsid w:val="00297FDE"/>
    <w:rsid w:val="002A3779"/>
    <w:rsid w:val="002A5024"/>
    <w:rsid w:val="002A59F5"/>
    <w:rsid w:val="002A6582"/>
    <w:rsid w:val="002B00E5"/>
    <w:rsid w:val="002B3B01"/>
    <w:rsid w:val="002B5D98"/>
    <w:rsid w:val="002B6433"/>
    <w:rsid w:val="002B779F"/>
    <w:rsid w:val="002C5772"/>
    <w:rsid w:val="002C6F00"/>
    <w:rsid w:val="002C7321"/>
    <w:rsid w:val="002D0369"/>
    <w:rsid w:val="002D0B26"/>
    <w:rsid w:val="002D0CA1"/>
    <w:rsid w:val="002D137E"/>
    <w:rsid w:val="002D22C1"/>
    <w:rsid w:val="002D44EB"/>
    <w:rsid w:val="002D4922"/>
    <w:rsid w:val="002D5909"/>
    <w:rsid w:val="002D5B44"/>
    <w:rsid w:val="002E5AAC"/>
    <w:rsid w:val="002F0E6B"/>
    <w:rsid w:val="002F23C5"/>
    <w:rsid w:val="002F25C1"/>
    <w:rsid w:val="002F2F75"/>
    <w:rsid w:val="002F3360"/>
    <w:rsid w:val="002F6271"/>
    <w:rsid w:val="003043AE"/>
    <w:rsid w:val="0030548D"/>
    <w:rsid w:val="00307963"/>
    <w:rsid w:val="00307C6B"/>
    <w:rsid w:val="00310E23"/>
    <w:rsid w:val="0031241C"/>
    <w:rsid w:val="003161E7"/>
    <w:rsid w:val="00316683"/>
    <w:rsid w:val="00317C79"/>
    <w:rsid w:val="00321739"/>
    <w:rsid w:val="00326B3A"/>
    <w:rsid w:val="0033067C"/>
    <w:rsid w:val="00332ED6"/>
    <w:rsid w:val="003412C7"/>
    <w:rsid w:val="0034136D"/>
    <w:rsid w:val="00346176"/>
    <w:rsid w:val="00346CFD"/>
    <w:rsid w:val="003475BC"/>
    <w:rsid w:val="00347848"/>
    <w:rsid w:val="00350B12"/>
    <w:rsid w:val="0035440F"/>
    <w:rsid w:val="003563F8"/>
    <w:rsid w:val="00356C74"/>
    <w:rsid w:val="00357A17"/>
    <w:rsid w:val="00361352"/>
    <w:rsid w:val="003640D2"/>
    <w:rsid w:val="00367702"/>
    <w:rsid w:val="00367E7B"/>
    <w:rsid w:val="003748C6"/>
    <w:rsid w:val="00383779"/>
    <w:rsid w:val="00393E5A"/>
    <w:rsid w:val="00397BF2"/>
    <w:rsid w:val="003A157F"/>
    <w:rsid w:val="003A28EF"/>
    <w:rsid w:val="003A563E"/>
    <w:rsid w:val="003A61D4"/>
    <w:rsid w:val="003B1A90"/>
    <w:rsid w:val="003B4075"/>
    <w:rsid w:val="003C6A67"/>
    <w:rsid w:val="003D15FF"/>
    <w:rsid w:val="003D62F0"/>
    <w:rsid w:val="003D6D5E"/>
    <w:rsid w:val="003E0995"/>
    <w:rsid w:val="003E0FE6"/>
    <w:rsid w:val="003E5855"/>
    <w:rsid w:val="003E58AC"/>
    <w:rsid w:val="003F0019"/>
    <w:rsid w:val="003F1F74"/>
    <w:rsid w:val="003F413F"/>
    <w:rsid w:val="003F7805"/>
    <w:rsid w:val="0040562C"/>
    <w:rsid w:val="004132F6"/>
    <w:rsid w:val="00416074"/>
    <w:rsid w:val="004167ED"/>
    <w:rsid w:val="00422963"/>
    <w:rsid w:val="00422E0A"/>
    <w:rsid w:val="00425E47"/>
    <w:rsid w:val="004270AC"/>
    <w:rsid w:val="00432DB9"/>
    <w:rsid w:val="004332BC"/>
    <w:rsid w:val="00433C7D"/>
    <w:rsid w:val="004406C1"/>
    <w:rsid w:val="00440EB7"/>
    <w:rsid w:val="004414A7"/>
    <w:rsid w:val="004416C7"/>
    <w:rsid w:val="0044196D"/>
    <w:rsid w:val="00441BD3"/>
    <w:rsid w:val="00441D66"/>
    <w:rsid w:val="00444828"/>
    <w:rsid w:val="004465E3"/>
    <w:rsid w:val="00450AAA"/>
    <w:rsid w:val="00450C9B"/>
    <w:rsid w:val="00451943"/>
    <w:rsid w:val="0045313D"/>
    <w:rsid w:val="004662FF"/>
    <w:rsid w:val="00470DA9"/>
    <w:rsid w:val="00471EA6"/>
    <w:rsid w:val="004720F6"/>
    <w:rsid w:val="004749E5"/>
    <w:rsid w:val="00483550"/>
    <w:rsid w:val="004857B1"/>
    <w:rsid w:val="00485F7C"/>
    <w:rsid w:val="004902EC"/>
    <w:rsid w:val="00492091"/>
    <w:rsid w:val="00492DE3"/>
    <w:rsid w:val="0049499C"/>
    <w:rsid w:val="00494FEE"/>
    <w:rsid w:val="0049688A"/>
    <w:rsid w:val="00497899"/>
    <w:rsid w:val="004A24A9"/>
    <w:rsid w:val="004A77AA"/>
    <w:rsid w:val="004A79A6"/>
    <w:rsid w:val="004B375C"/>
    <w:rsid w:val="004B3E9F"/>
    <w:rsid w:val="004B45EA"/>
    <w:rsid w:val="004B7096"/>
    <w:rsid w:val="004C35EE"/>
    <w:rsid w:val="004C65E3"/>
    <w:rsid w:val="004D67A4"/>
    <w:rsid w:val="004D7355"/>
    <w:rsid w:val="004E0977"/>
    <w:rsid w:val="004E0E79"/>
    <w:rsid w:val="004E1DD5"/>
    <w:rsid w:val="004E4196"/>
    <w:rsid w:val="004E48E8"/>
    <w:rsid w:val="004F0BE3"/>
    <w:rsid w:val="004F2DC2"/>
    <w:rsid w:val="004F392D"/>
    <w:rsid w:val="004F5D89"/>
    <w:rsid w:val="004F5F08"/>
    <w:rsid w:val="00500DAE"/>
    <w:rsid w:val="005019A9"/>
    <w:rsid w:val="00501ABB"/>
    <w:rsid w:val="005036F7"/>
    <w:rsid w:val="005055E6"/>
    <w:rsid w:val="00505AA7"/>
    <w:rsid w:val="00506E7B"/>
    <w:rsid w:val="00512C48"/>
    <w:rsid w:val="0051605C"/>
    <w:rsid w:val="00520E09"/>
    <w:rsid w:val="0052696A"/>
    <w:rsid w:val="005314A1"/>
    <w:rsid w:val="00531A20"/>
    <w:rsid w:val="00531CFE"/>
    <w:rsid w:val="0054254B"/>
    <w:rsid w:val="00542821"/>
    <w:rsid w:val="00542F7A"/>
    <w:rsid w:val="0054434D"/>
    <w:rsid w:val="00553C8B"/>
    <w:rsid w:val="005541F6"/>
    <w:rsid w:val="00554A7A"/>
    <w:rsid w:val="00564120"/>
    <w:rsid w:val="00565D7B"/>
    <w:rsid w:val="00566A25"/>
    <w:rsid w:val="00566D0A"/>
    <w:rsid w:val="00567E70"/>
    <w:rsid w:val="005728AE"/>
    <w:rsid w:val="00573160"/>
    <w:rsid w:val="00576B76"/>
    <w:rsid w:val="00577B20"/>
    <w:rsid w:val="0058259B"/>
    <w:rsid w:val="00585CD2"/>
    <w:rsid w:val="00586D8C"/>
    <w:rsid w:val="00593468"/>
    <w:rsid w:val="005962A0"/>
    <w:rsid w:val="005975C8"/>
    <w:rsid w:val="005976E4"/>
    <w:rsid w:val="005A0183"/>
    <w:rsid w:val="005A51D0"/>
    <w:rsid w:val="005A739E"/>
    <w:rsid w:val="005B0AD1"/>
    <w:rsid w:val="005B6DAA"/>
    <w:rsid w:val="005B7D19"/>
    <w:rsid w:val="005C0B0A"/>
    <w:rsid w:val="005D75DF"/>
    <w:rsid w:val="005E24E4"/>
    <w:rsid w:val="005E2F7C"/>
    <w:rsid w:val="005E57D4"/>
    <w:rsid w:val="005E74C8"/>
    <w:rsid w:val="005F3383"/>
    <w:rsid w:val="005F5B0C"/>
    <w:rsid w:val="00601FF9"/>
    <w:rsid w:val="00605C91"/>
    <w:rsid w:val="00605DA7"/>
    <w:rsid w:val="006078B7"/>
    <w:rsid w:val="00613174"/>
    <w:rsid w:val="00615CE3"/>
    <w:rsid w:val="00616C47"/>
    <w:rsid w:val="0062160B"/>
    <w:rsid w:val="00630EDA"/>
    <w:rsid w:val="00631916"/>
    <w:rsid w:val="00632055"/>
    <w:rsid w:val="00634E38"/>
    <w:rsid w:val="006410E4"/>
    <w:rsid w:val="00647DC9"/>
    <w:rsid w:val="006512AE"/>
    <w:rsid w:val="0065538A"/>
    <w:rsid w:val="006610C9"/>
    <w:rsid w:val="00661363"/>
    <w:rsid w:val="00663CA7"/>
    <w:rsid w:val="00664ECA"/>
    <w:rsid w:val="0067149E"/>
    <w:rsid w:val="006778E3"/>
    <w:rsid w:val="0068173E"/>
    <w:rsid w:val="006819E6"/>
    <w:rsid w:val="00683143"/>
    <w:rsid w:val="00684C73"/>
    <w:rsid w:val="00685454"/>
    <w:rsid w:val="0069098E"/>
    <w:rsid w:val="00694437"/>
    <w:rsid w:val="006952FF"/>
    <w:rsid w:val="00697361"/>
    <w:rsid w:val="006A11C0"/>
    <w:rsid w:val="006A11F9"/>
    <w:rsid w:val="006A3D12"/>
    <w:rsid w:val="006A5FDE"/>
    <w:rsid w:val="006A7EE8"/>
    <w:rsid w:val="006B208C"/>
    <w:rsid w:val="006B210F"/>
    <w:rsid w:val="006B385A"/>
    <w:rsid w:val="006B3AB7"/>
    <w:rsid w:val="006B561D"/>
    <w:rsid w:val="006B6867"/>
    <w:rsid w:val="006C2517"/>
    <w:rsid w:val="006C430C"/>
    <w:rsid w:val="006C4930"/>
    <w:rsid w:val="006D3B1F"/>
    <w:rsid w:val="006D3EC0"/>
    <w:rsid w:val="006D3FD3"/>
    <w:rsid w:val="006D5906"/>
    <w:rsid w:val="006D77B9"/>
    <w:rsid w:val="006E4835"/>
    <w:rsid w:val="006E7A7C"/>
    <w:rsid w:val="006F24D7"/>
    <w:rsid w:val="006F5D12"/>
    <w:rsid w:val="00704D3B"/>
    <w:rsid w:val="0070638F"/>
    <w:rsid w:val="00706D60"/>
    <w:rsid w:val="0070750C"/>
    <w:rsid w:val="00710767"/>
    <w:rsid w:val="00720BE1"/>
    <w:rsid w:val="00720E3E"/>
    <w:rsid w:val="00721AD6"/>
    <w:rsid w:val="00726B05"/>
    <w:rsid w:val="00727A9F"/>
    <w:rsid w:val="007331D7"/>
    <w:rsid w:val="0073372F"/>
    <w:rsid w:val="00733E78"/>
    <w:rsid w:val="00743A29"/>
    <w:rsid w:val="00743D96"/>
    <w:rsid w:val="00754325"/>
    <w:rsid w:val="00757B30"/>
    <w:rsid w:val="00762E97"/>
    <w:rsid w:val="00763918"/>
    <w:rsid w:val="007639FE"/>
    <w:rsid w:val="007705C0"/>
    <w:rsid w:val="00775D08"/>
    <w:rsid w:val="00777207"/>
    <w:rsid w:val="007856B6"/>
    <w:rsid w:val="00793A07"/>
    <w:rsid w:val="00794AF2"/>
    <w:rsid w:val="007966B4"/>
    <w:rsid w:val="00796859"/>
    <w:rsid w:val="007A09A9"/>
    <w:rsid w:val="007A30DF"/>
    <w:rsid w:val="007A52A1"/>
    <w:rsid w:val="007A5D66"/>
    <w:rsid w:val="007A7D12"/>
    <w:rsid w:val="007B644F"/>
    <w:rsid w:val="007C0831"/>
    <w:rsid w:val="007C31B9"/>
    <w:rsid w:val="007D11D4"/>
    <w:rsid w:val="007D274C"/>
    <w:rsid w:val="007D3FE5"/>
    <w:rsid w:val="007D4F52"/>
    <w:rsid w:val="007D5CDF"/>
    <w:rsid w:val="007E363C"/>
    <w:rsid w:val="007E476D"/>
    <w:rsid w:val="007E5B70"/>
    <w:rsid w:val="007E7436"/>
    <w:rsid w:val="007F0C3D"/>
    <w:rsid w:val="007F3C41"/>
    <w:rsid w:val="007F420D"/>
    <w:rsid w:val="007F4214"/>
    <w:rsid w:val="007F4B3C"/>
    <w:rsid w:val="007F5015"/>
    <w:rsid w:val="00802910"/>
    <w:rsid w:val="00805681"/>
    <w:rsid w:val="00806B21"/>
    <w:rsid w:val="00807A96"/>
    <w:rsid w:val="00810319"/>
    <w:rsid w:val="00816472"/>
    <w:rsid w:val="00823F4B"/>
    <w:rsid w:val="00825AB9"/>
    <w:rsid w:val="00826EFD"/>
    <w:rsid w:val="0083077C"/>
    <w:rsid w:val="00831592"/>
    <w:rsid w:val="008327CF"/>
    <w:rsid w:val="008467BE"/>
    <w:rsid w:val="0085240A"/>
    <w:rsid w:val="00855D66"/>
    <w:rsid w:val="00855E42"/>
    <w:rsid w:val="00863FD0"/>
    <w:rsid w:val="00865F10"/>
    <w:rsid w:val="00871858"/>
    <w:rsid w:val="00873804"/>
    <w:rsid w:val="00874353"/>
    <w:rsid w:val="00875493"/>
    <w:rsid w:val="0087665D"/>
    <w:rsid w:val="00877E06"/>
    <w:rsid w:val="0088213F"/>
    <w:rsid w:val="00882216"/>
    <w:rsid w:val="008853E9"/>
    <w:rsid w:val="008910C9"/>
    <w:rsid w:val="00897CB0"/>
    <w:rsid w:val="008A32E6"/>
    <w:rsid w:val="008A3920"/>
    <w:rsid w:val="008A5316"/>
    <w:rsid w:val="008A7BA9"/>
    <w:rsid w:val="008B523F"/>
    <w:rsid w:val="008B5C46"/>
    <w:rsid w:val="008B6771"/>
    <w:rsid w:val="008B678D"/>
    <w:rsid w:val="008B6F7B"/>
    <w:rsid w:val="008C4D41"/>
    <w:rsid w:val="008C5BAB"/>
    <w:rsid w:val="008C718E"/>
    <w:rsid w:val="008D0802"/>
    <w:rsid w:val="008E4CD9"/>
    <w:rsid w:val="008E4E69"/>
    <w:rsid w:val="008E68A6"/>
    <w:rsid w:val="008F239A"/>
    <w:rsid w:val="008F2E22"/>
    <w:rsid w:val="008F35AB"/>
    <w:rsid w:val="008F4893"/>
    <w:rsid w:val="008F597E"/>
    <w:rsid w:val="00900D25"/>
    <w:rsid w:val="0090116E"/>
    <w:rsid w:val="00904301"/>
    <w:rsid w:val="00905CC5"/>
    <w:rsid w:val="0090602A"/>
    <w:rsid w:val="0091023B"/>
    <w:rsid w:val="00912364"/>
    <w:rsid w:val="00913EEC"/>
    <w:rsid w:val="009154FC"/>
    <w:rsid w:val="00917D84"/>
    <w:rsid w:val="00924426"/>
    <w:rsid w:val="00926141"/>
    <w:rsid w:val="0093317E"/>
    <w:rsid w:val="00935132"/>
    <w:rsid w:val="00937645"/>
    <w:rsid w:val="0094194E"/>
    <w:rsid w:val="00945FC9"/>
    <w:rsid w:val="00952E6A"/>
    <w:rsid w:val="00955831"/>
    <w:rsid w:val="009630F3"/>
    <w:rsid w:val="00966321"/>
    <w:rsid w:val="00967572"/>
    <w:rsid w:val="0096777A"/>
    <w:rsid w:val="00967903"/>
    <w:rsid w:val="0097024E"/>
    <w:rsid w:val="009708A8"/>
    <w:rsid w:val="009720CC"/>
    <w:rsid w:val="00974552"/>
    <w:rsid w:val="00981345"/>
    <w:rsid w:val="009856F0"/>
    <w:rsid w:val="00985B94"/>
    <w:rsid w:val="00990123"/>
    <w:rsid w:val="009942A4"/>
    <w:rsid w:val="009958AA"/>
    <w:rsid w:val="00996AA5"/>
    <w:rsid w:val="009A1F2D"/>
    <w:rsid w:val="009A36E0"/>
    <w:rsid w:val="009A753A"/>
    <w:rsid w:val="009A7CF8"/>
    <w:rsid w:val="009B05F0"/>
    <w:rsid w:val="009B2357"/>
    <w:rsid w:val="009B24E6"/>
    <w:rsid w:val="009B2EFA"/>
    <w:rsid w:val="009B4481"/>
    <w:rsid w:val="009B4746"/>
    <w:rsid w:val="009B658F"/>
    <w:rsid w:val="009B6BD7"/>
    <w:rsid w:val="009C038B"/>
    <w:rsid w:val="009C18E1"/>
    <w:rsid w:val="009C36C5"/>
    <w:rsid w:val="009C60E4"/>
    <w:rsid w:val="009C6BB5"/>
    <w:rsid w:val="009C73E6"/>
    <w:rsid w:val="009D089A"/>
    <w:rsid w:val="009D4412"/>
    <w:rsid w:val="009E23BF"/>
    <w:rsid w:val="009E3C0E"/>
    <w:rsid w:val="009E6C21"/>
    <w:rsid w:val="009F1A44"/>
    <w:rsid w:val="009F273F"/>
    <w:rsid w:val="009F2F5A"/>
    <w:rsid w:val="00A02449"/>
    <w:rsid w:val="00A0581C"/>
    <w:rsid w:val="00A11154"/>
    <w:rsid w:val="00A13DE0"/>
    <w:rsid w:val="00A149C3"/>
    <w:rsid w:val="00A15775"/>
    <w:rsid w:val="00A213D0"/>
    <w:rsid w:val="00A31F96"/>
    <w:rsid w:val="00A33536"/>
    <w:rsid w:val="00A34096"/>
    <w:rsid w:val="00A40DF3"/>
    <w:rsid w:val="00A457FF"/>
    <w:rsid w:val="00A5178D"/>
    <w:rsid w:val="00A51828"/>
    <w:rsid w:val="00A518CA"/>
    <w:rsid w:val="00A52C2B"/>
    <w:rsid w:val="00A56636"/>
    <w:rsid w:val="00A568BD"/>
    <w:rsid w:val="00A70CC1"/>
    <w:rsid w:val="00A71D48"/>
    <w:rsid w:val="00A72B88"/>
    <w:rsid w:val="00A76222"/>
    <w:rsid w:val="00A7719A"/>
    <w:rsid w:val="00A8109C"/>
    <w:rsid w:val="00A82FA0"/>
    <w:rsid w:val="00A83712"/>
    <w:rsid w:val="00A85080"/>
    <w:rsid w:val="00A87A26"/>
    <w:rsid w:val="00A9343F"/>
    <w:rsid w:val="00A95698"/>
    <w:rsid w:val="00A96D9A"/>
    <w:rsid w:val="00AA33D7"/>
    <w:rsid w:val="00AA4B3C"/>
    <w:rsid w:val="00AB129E"/>
    <w:rsid w:val="00AB3D09"/>
    <w:rsid w:val="00AB45A7"/>
    <w:rsid w:val="00AB5A67"/>
    <w:rsid w:val="00AB6189"/>
    <w:rsid w:val="00AB70E8"/>
    <w:rsid w:val="00AB7BF3"/>
    <w:rsid w:val="00AC0AB3"/>
    <w:rsid w:val="00AC1A22"/>
    <w:rsid w:val="00AC6F26"/>
    <w:rsid w:val="00AD20C8"/>
    <w:rsid w:val="00AD2C84"/>
    <w:rsid w:val="00AD3461"/>
    <w:rsid w:val="00AD3F06"/>
    <w:rsid w:val="00AD4661"/>
    <w:rsid w:val="00AD5E2B"/>
    <w:rsid w:val="00AD7BD4"/>
    <w:rsid w:val="00AE0415"/>
    <w:rsid w:val="00AE2CD7"/>
    <w:rsid w:val="00AE662C"/>
    <w:rsid w:val="00AE723A"/>
    <w:rsid w:val="00AF5698"/>
    <w:rsid w:val="00B01BDC"/>
    <w:rsid w:val="00B11674"/>
    <w:rsid w:val="00B21939"/>
    <w:rsid w:val="00B26B56"/>
    <w:rsid w:val="00B34A7A"/>
    <w:rsid w:val="00B412F3"/>
    <w:rsid w:val="00B4327A"/>
    <w:rsid w:val="00B44445"/>
    <w:rsid w:val="00B449D9"/>
    <w:rsid w:val="00B44F32"/>
    <w:rsid w:val="00B4591C"/>
    <w:rsid w:val="00B5257C"/>
    <w:rsid w:val="00B53DE1"/>
    <w:rsid w:val="00B55111"/>
    <w:rsid w:val="00B55828"/>
    <w:rsid w:val="00B562A1"/>
    <w:rsid w:val="00B6524A"/>
    <w:rsid w:val="00B73C61"/>
    <w:rsid w:val="00B74284"/>
    <w:rsid w:val="00B7443F"/>
    <w:rsid w:val="00B76B77"/>
    <w:rsid w:val="00B771BE"/>
    <w:rsid w:val="00B81C9E"/>
    <w:rsid w:val="00B8244B"/>
    <w:rsid w:val="00B8479F"/>
    <w:rsid w:val="00B86FDC"/>
    <w:rsid w:val="00B87826"/>
    <w:rsid w:val="00B932C5"/>
    <w:rsid w:val="00B965B2"/>
    <w:rsid w:val="00B9702E"/>
    <w:rsid w:val="00BA1194"/>
    <w:rsid w:val="00BA3890"/>
    <w:rsid w:val="00BA3F1D"/>
    <w:rsid w:val="00BA4112"/>
    <w:rsid w:val="00BA43BA"/>
    <w:rsid w:val="00BA7C45"/>
    <w:rsid w:val="00BB4098"/>
    <w:rsid w:val="00BC0991"/>
    <w:rsid w:val="00BD12A0"/>
    <w:rsid w:val="00BD1561"/>
    <w:rsid w:val="00BD7A96"/>
    <w:rsid w:val="00BE71B2"/>
    <w:rsid w:val="00BE7238"/>
    <w:rsid w:val="00BF04B1"/>
    <w:rsid w:val="00BF632B"/>
    <w:rsid w:val="00BF7358"/>
    <w:rsid w:val="00C004E0"/>
    <w:rsid w:val="00C00E0B"/>
    <w:rsid w:val="00C01CD7"/>
    <w:rsid w:val="00C02A64"/>
    <w:rsid w:val="00C17A16"/>
    <w:rsid w:val="00C222BF"/>
    <w:rsid w:val="00C223F8"/>
    <w:rsid w:val="00C239B4"/>
    <w:rsid w:val="00C23B53"/>
    <w:rsid w:val="00C2636D"/>
    <w:rsid w:val="00C270AC"/>
    <w:rsid w:val="00C27562"/>
    <w:rsid w:val="00C309D4"/>
    <w:rsid w:val="00C30FFE"/>
    <w:rsid w:val="00C35E7D"/>
    <w:rsid w:val="00C40470"/>
    <w:rsid w:val="00C45439"/>
    <w:rsid w:val="00C458A4"/>
    <w:rsid w:val="00C4732C"/>
    <w:rsid w:val="00C47447"/>
    <w:rsid w:val="00C601C2"/>
    <w:rsid w:val="00C603D4"/>
    <w:rsid w:val="00C63F58"/>
    <w:rsid w:val="00C6701C"/>
    <w:rsid w:val="00C71466"/>
    <w:rsid w:val="00C7287A"/>
    <w:rsid w:val="00C8010D"/>
    <w:rsid w:val="00C82861"/>
    <w:rsid w:val="00C82CDF"/>
    <w:rsid w:val="00C850F8"/>
    <w:rsid w:val="00C85251"/>
    <w:rsid w:val="00C869F5"/>
    <w:rsid w:val="00C955FD"/>
    <w:rsid w:val="00C964C1"/>
    <w:rsid w:val="00C96723"/>
    <w:rsid w:val="00CA3E6A"/>
    <w:rsid w:val="00CA722F"/>
    <w:rsid w:val="00CB348E"/>
    <w:rsid w:val="00CB4550"/>
    <w:rsid w:val="00CC30B0"/>
    <w:rsid w:val="00CC691B"/>
    <w:rsid w:val="00CC6D53"/>
    <w:rsid w:val="00CC6DA1"/>
    <w:rsid w:val="00CD1258"/>
    <w:rsid w:val="00CD1B2C"/>
    <w:rsid w:val="00CD5BD3"/>
    <w:rsid w:val="00CE5C1B"/>
    <w:rsid w:val="00CE73C6"/>
    <w:rsid w:val="00CF2677"/>
    <w:rsid w:val="00CF3A27"/>
    <w:rsid w:val="00CF4053"/>
    <w:rsid w:val="00CF4B7C"/>
    <w:rsid w:val="00CF6AD3"/>
    <w:rsid w:val="00D05DD2"/>
    <w:rsid w:val="00D10C8D"/>
    <w:rsid w:val="00D15F1F"/>
    <w:rsid w:val="00D16813"/>
    <w:rsid w:val="00D21107"/>
    <w:rsid w:val="00D23458"/>
    <w:rsid w:val="00D25B00"/>
    <w:rsid w:val="00D25B40"/>
    <w:rsid w:val="00D26120"/>
    <w:rsid w:val="00D3331F"/>
    <w:rsid w:val="00D360FC"/>
    <w:rsid w:val="00D45204"/>
    <w:rsid w:val="00D5074B"/>
    <w:rsid w:val="00D547B0"/>
    <w:rsid w:val="00D55461"/>
    <w:rsid w:val="00D56EC7"/>
    <w:rsid w:val="00D575BA"/>
    <w:rsid w:val="00D63AFC"/>
    <w:rsid w:val="00D64EC6"/>
    <w:rsid w:val="00D71347"/>
    <w:rsid w:val="00D738C5"/>
    <w:rsid w:val="00D809F6"/>
    <w:rsid w:val="00D80FA8"/>
    <w:rsid w:val="00D82429"/>
    <w:rsid w:val="00D92464"/>
    <w:rsid w:val="00DA01C4"/>
    <w:rsid w:val="00DA0736"/>
    <w:rsid w:val="00DA25BD"/>
    <w:rsid w:val="00DA2F69"/>
    <w:rsid w:val="00DA2FB5"/>
    <w:rsid w:val="00DA5426"/>
    <w:rsid w:val="00DA55F0"/>
    <w:rsid w:val="00DA6894"/>
    <w:rsid w:val="00DA6C24"/>
    <w:rsid w:val="00DB4D7A"/>
    <w:rsid w:val="00DC487D"/>
    <w:rsid w:val="00DC4BC0"/>
    <w:rsid w:val="00DC4FA9"/>
    <w:rsid w:val="00DD0A4B"/>
    <w:rsid w:val="00DD15A8"/>
    <w:rsid w:val="00DD17E5"/>
    <w:rsid w:val="00DD29D3"/>
    <w:rsid w:val="00DD4C18"/>
    <w:rsid w:val="00DD50E3"/>
    <w:rsid w:val="00DD73FB"/>
    <w:rsid w:val="00DE406C"/>
    <w:rsid w:val="00DF2A9F"/>
    <w:rsid w:val="00DF3DD6"/>
    <w:rsid w:val="00DF3F81"/>
    <w:rsid w:val="00DF66E3"/>
    <w:rsid w:val="00DF6FB5"/>
    <w:rsid w:val="00DF7D5F"/>
    <w:rsid w:val="00E0235B"/>
    <w:rsid w:val="00E043BE"/>
    <w:rsid w:val="00E0793F"/>
    <w:rsid w:val="00E110BA"/>
    <w:rsid w:val="00E1176D"/>
    <w:rsid w:val="00E13CFF"/>
    <w:rsid w:val="00E235E0"/>
    <w:rsid w:val="00E25FEF"/>
    <w:rsid w:val="00E346D9"/>
    <w:rsid w:val="00E36ABF"/>
    <w:rsid w:val="00E372BC"/>
    <w:rsid w:val="00E4321D"/>
    <w:rsid w:val="00E43A5C"/>
    <w:rsid w:val="00E47C3D"/>
    <w:rsid w:val="00E516A7"/>
    <w:rsid w:val="00E51829"/>
    <w:rsid w:val="00E523E9"/>
    <w:rsid w:val="00E541C4"/>
    <w:rsid w:val="00E54E52"/>
    <w:rsid w:val="00E55C29"/>
    <w:rsid w:val="00E56804"/>
    <w:rsid w:val="00E56F5B"/>
    <w:rsid w:val="00E63D29"/>
    <w:rsid w:val="00E653C0"/>
    <w:rsid w:val="00E65BAD"/>
    <w:rsid w:val="00E67994"/>
    <w:rsid w:val="00E70348"/>
    <w:rsid w:val="00E829F8"/>
    <w:rsid w:val="00E83624"/>
    <w:rsid w:val="00E8374D"/>
    <w:rsid w:val="00E84700"/>
    <w:rsid w:val="00E930ED"/>
    <w:rsid w:val="00E96235"/>
    <w:rsid w:val="00EB0987"/>
    <w:rsid w:val="00EB14AE"/>
    <w:rsid w:val="00EB318B"/>
    <w:rsid w:val="00EB44E3"/>
    <w:rsid w:val="00EB6AB7"/>
    <w:rsid w:val="00EC1BC9"/>
    <w:rsid w:val="00EC26E0"/>
    <w:rsid w:val="00EC2D67"/>
    <w:rsid w:val="00EC4394"/>
    <w:rsid w:val="00EC4BA9"/>
    <w:rsid w:val="00EC4BDD"/>
    <w:rsid w:val="00EC58E7"/>
    <w:rsid w:val="00EC63A7"/>
    <w:rsid w:val="00EC71B4"/>
    <w:rsid w:val="00ED0467"/>
    <w:rsid w:val="00ED26C8"/>
    <w:rsid w:val="00ED2E62"/>
    <w:rsid w:val="00EE0614"/>
    <w:rsid w:val="00EE12F0"/>
    <w:rsid w:val="00EE3A6E"/>
    <w:rsid w:val="00EE3A9D"/>
    <w:rsid w:val="00EE53EF"/>
    <w:rsid w:val="00EF119A"/>
    <w:rsid w:val="00EF1335"/>
    <w:rsid w:val="00EF37C1"/>
    <w:rsid w:val="00EF3EDA"/>
    <w:rsid w:val="00EF3F98"/>
    <w:rsid w:val="00F01492"/>
    <w:rsid w:val="00F04867"/>
    <w:rsid w:val="00F06140"/>
    <w:rsid w:val="00F1276F"/>
    <w:rsid w:val="00F16201"/>
    <w:rsid w:val="00F2018F"/>
    <w:rsid w:val="00F2147F"/>
    <w:rsid w:val="00F26C88"/>
    <w:rsid w:val="00F3039B"/>
    <w:rsid w:val="00F34A18"/>
    <w:rsid w:val="00F421C1"/>
    <w:rsid w:val="00F43844"/>
    <w:rsid w:val="00F43852"/>
    <w:rsid w:val="00F46F89"/>
    <w:rsid w:val="00F5245D"/>
    <w:rsid w:val="00F53677"/>
    <w:rsid w:val="00F5655F"/>
    <w:rsid w:val="00F57E0B"/>
    <w:rsid w:val="00F60094"/>
    <w:rsid w:val="00F671A9"/>
    <w:rsid w:val="00F6720F"/>
    <w:rsid w:val="00F71E54"/>
    <w:rsid w:val="00F729CF"/>
    <w:rsid w:val="00F7310F"/>
    <w:rsid w:val="00F7399D"/>
    <w:rsid w:val="00F77421"/>
    <w:rsid w:val="00F8576E"/>
    <w:rsid w:val="00F85857"/>
    <w:rsid w:val="00F91505"/>
    <w:rsid w:val="00F96130"/>
    <w:rsid w:val="00F96C55"/>
    <w:rsid w:val="00F974DF"/>
    <w:rsid w:val="00F97D1C"/>
    <w:rsid w:val="00FA022E"/>
    <w:rsid w:val="00FA3D0A"/>
    <w:rsid w:val="00FA653E"/>
    <w:rsid w:val="00FA7928"/>
    <w:rsid w:val="00FB1A75"/>
    <w:rsid w:val="00FB3342"/>
    <w:rsid w:val="00FB5B81"/>
    <w:rsid w:val="00FC2465"/>
    <w:rsid w:val="00FC30DA"/>
    <w:rsid w:val="00FC34D6"/>
    <w:rsid w:val="00FC4601"/>
    <w:rsid w:val="00FC6D10"/>
    <w:rsid w:val="00FC7CE3"/>
    <w:rsid w:val="00FD0834"/>
    <w:rsid w:val="00FD4B60"/>
    <w:rsid w:val="00FD4D86"/>
    <w:rsid w:val="00FD630E"/>
    <w:rsid w:val="00FD63E5"/>
    <w:rsid w:val="00FD6CEF"/>
    <w:rsid w:val="00FE2A5B"/>
    <w:rsid w:val="00FF1A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B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BD"/>
  </w:style>
  <w:style w:type="paragraph" w:styleId="Heading1">
    <w:name w:val="heading 1"/>
    <w:basedOn w:val="Normal"/>
    <w:next w:val="Normal"/>
    <w:link w:val="Heading1Char"/>
    <w:uiPriority w:val="9"/>
    <w:qFormat/>
    <w:rsid w:val="00A568B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568B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8B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8B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568B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568B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568B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568B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568B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F7A"/>
    <w:rPr>
      <w:color w:val="808080"/>
    </w:rPr>
  </w:style>
  <w:style w:type="character" w:customStyle="1" w:styleId="Heading1Char">
    <w:name w:val="Heading 1 Char"/>
    <w:basedOn w:val="DefaultParagraphFont"/>
    <w:link w:val="Heading1"/>
    <w:uiPriority w:val="9"/>
    <w:rsid w:val="00A568BD"/>
    <w:rPr>
      <w:rFonts w:asciiTheme="majorHAnsi" w:eastAsiaTheme="majorEastAsia" w:hAnsiTheme="majorHAnsi" w:cstheme="majorBidi"/>
      <w:color w:val="1F3864" w:themeColor="accent1" w:themeShade="80"/>
      <w:sz w:val="36"/>
      <w:szCs w:val="36"/>
    </w:rPr>
  </w:style>
  <w:style w:type="paragraph" w:styleId="TOCHeading">
    <w:name w:val="TOC Heading"/>
    <w:basedOn w:val="Heading1"/>
    <w:next w:val="Normal"/>
    <w:uiPriority w:val="39"/>
    <w:unhideWhenUsed/>
    <w:qFormat/>
    <w:rsid w:val="00A568BD"/>
    <w:pPr>
      <w:outlineLvl w:val="9"/>
    </w:pPr>
  </w:style>
  <w:style w:type="paragraph" w:styleId="TOC1">
    <w:name w:val="toc 1"/>
    <w:basedOn w:val="Normal"/>
    <w:next w:val="Normal"/>
    <w:autoRedefine/>
    <w:uiPriority w:val="39"/>
    <w:rsid w:val="003A563E"/>
    <w:pPr>
      <w:spacing w:before="120" w:after="0"/>
    </w:pPr>
    <w:rPr>
      <w:b/>
      <w:bCs/>
      <w:i/>
      <w:iCs/>
      <w:sz w:val="24"/>
      <w:szCs w:val="24"/>
    </w:rPr>
  </w:style>
  <w:style w:type="character" w:styleId="Hyperlink">
    <w:name w:val="Hyperlink"/>
    <w:basedOn w:val="DefaultParagraphFont"/>
    <w:uiPriority w:val="99"/>
    <w:unhideWhenUsed/>
    <w:rsid w:val="00E96235"/>
    <w:rPr>
      <w:color w:val="0563C1" w:themeColor="hyperlink"/>
      <w:u w:val="single"/>
    </w:rPr>
  </w:style>
  <w:style w:type="paragraph" w:styleId="BalloonText">
    <w:name w:val="Balloon Text"/>
    <w:basedOn w:val="Normal"/>
    <w:link w:val="BalloonTextChar"/>
    <w:uiPriority w:val="99"/>
    <w:semiHidden/>
    <w:unhideWhenUsed/>
    <w:rsid w:val="00C85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251"/>
    <w:rPr>
      <w:rFonts w:ascii="Segoe UI" w:hAnsi="Segoe UI" w:cs="Segoe UI"/>
      <w:sz w:val="18"/>
      <w:szCs w:val="18"/>
    </w:rPr>
  </w:style>
  <w:style w:type="paragraph" w:styleId="NormalWeb">
    <w:name w:val="Normal (Web)"/>
    <w:basedOn w:val="Normal"/>
    <w:uiPriority w:val="99"/>
    <w:unhideWhenUsed/>
    <w:rsid w:val="00D92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68BD"/>
    <w:rPr>
      <w:rFonts w:asciiTheme="majorHAnsi" w:eastAsiaTheme="majorEastAsia" w:hAnsiTheme="majorHAnsi" w:cstheme="majorBidi"/>
      <w:color w:val="2F5496" w:themeColor="accent1" w:themeShade="BF"/>
      <w:sz w:val="32"/>
      <w:szCs w:val="32"/>
    </w:rPr>
  </w:style>
  <w:style w:type="paragraph" w:styleId="TOC2">
    <w:name w:val="toc 2"/>
    <w:basedOn w:val="Normal"/>
    <w:next w:val="Normal"/>
    <w:autoRedefine/>
    <w:uiPriority w:val="39"/>
    <w:rsid w:val="007A52A1"/>
    <w:pPr>
      <w:tabs>
        <w:tab w:val="right" w:leader="dot" w:pos="9350"/>
      </w:tabs>
      <w:spacing w:before="120" w:after="0"/>
      <w:ind w:left="220"/>
    </w:pPr>
    <w:rPr>
      <w:b/>
      <w:bCs/>
    </w:rPr>
  </w:style>
  <w:style w:type="paragraph" w:styleId="ListParagraph">
    <w:name w:val="List Paragraph"/>
    <w:basedOn w:val="Normal"/>
    <w:uiPriority w:val="34"/>
    <w:qFormat/>
    <w:rsid w:val="009B658F"/>
    <w:pPr>
      <w:ind w:left="720"/>
      <w:contextualSpacing/>
    </w:pPr>
  </w:style>
  <w:style w:type="paragraph" w:styleId="Header">
    <w:name w:val="header"/>
    <w:basedOn w:val="Normal"/>
    <w:link w:val="HeaderChar"/>
    <w:uiPriority w:val="99"/>
    <w:semiHidden/>
    <w:rsid w:val="00E653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701C"/>
  </w:style>
  <w:style w:type="paragraph" w:styleId="Footer">
    <w:name w:val="footer"/>
    <w:basedOn w:val="Normal"/>
    <w:link w:val="FooterChar"/>
    <w:uiPriority w:val="99"/>
    <w:unhideWhenUsed/>
    <w:rsid w:val="000C1A28"/>
    <w:pPr>
      <w:spacing w:after="0" w:line="240" w:lineRule="auto"/>
      <w:ind w:right="680"/>
      <w:jc w:val="right"/>
    </w:pPr>
  </w:style>
  <w:style w:type="character" w:customStyle="1" w:styleId="FooterChar">
    <w:name w:val="Footer Char"/>
    <w:basedOn w:val="DefaultParagraphFont"/>
    <w:link w:val="Footer"/>
    <w:uiPriority w:val="99"/>
    <w:rsid w:val="000C1A28"/>
  </w:style>
  <w:style w:type="paragraph" w:styleId="ListBullet">
    <w:name w:val="List Bullet"/>
    <w:basedOn w:val="Normal"/>
    <w:uiPriority w:val="99"/>
    <w:rsid w:val="00D26120"/>
    <w:pPr>
      <w:numPr>
        <w:numId w:val="1"/>
      </w:numPr>
      <w:contextualSpacing/>
    </w:pPr>
  </w:style>
  <w:style w:type="paragraph" w:styleId="Subtitle">
    <w:name w:val="Subtitle"/>
    <w:basedOn w:val="Normal"/>
    <w:next w:val="Normal"/>
    <w:link w:val="SubtitleChar"/>
    <w:uiPriority w:val="11"/>
    <w:qFormat/>
    <w:rsid w:val="00A568B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568BD"/>
    <w:rPr>
      <w:rFonts w:asciiTheme="majorHAnsi" w:eastAsiaTheme="majorEastAsia" w:hAnsiTheme="majorHAnsi" w:cstheme="majorBidi"/>
      <w:color w:val="4472C4" w:themeColor="accent1"/>
      <w:sz w:val="28"/>
      <w:szCs w:val="28"/>
    </w:rPr>
  </w:style>
  <w:style w:type="paragraph" w:styleId="Title">
    <w:name w:val="Title"/>
    <w:basedOn w:val="Normal"/>
    <w:next w:val="Normal"/>
    <w:link w:val="TitleChar"/>
    <w:uiPriority w:val="10"/>
    <w:qFormat/>
    <w:rsid w:val="00A568B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568BD"/>
    <w:rPr>
      <w:rFonts w:asciiTheme="majorHAnsi" w:eastAsiaTheme="majorEastAsia" w:hAnsiTheme="majorHAnsi" w:cstheme="majorBidi"/>
      <w:caps/>
      <w:color w:val="44546A" w:themeColor="text2"/>
      <w:spacing w:val="-15"/>
      <w:sz w:val="72"/>
      <w:szCs w:val="72"/>
    </w:rPr>
  </w:style>
  <w:style w:type="table" w:styleId="TableGrid">
    <w:name w:val="Table Grid"/>
    <w:basedOn w:val="TableNormal"/>
    <w:uiPriority w:val="39"/>
    <w:rsid w:val="0045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
    <w:name w:val="Graphic"/>
    <w:basedOn w:val="Normal"/>
    <w:next w:val="Normal"/>
    <w:link w:val="GraphicChar"/>
    <w:rsid w:val="005E2F7C"/>
    <w:pPr>
      <w:keepNext/>
    </w:pPr>
  </w:style>
  <w:style w:type="character" w:customStyle="1" w:styleId="GraphicChar">
    <w:name w:val="Graphic Char"/>
    <w:basedOn w:val="DefaultParagraphFont"/>
    <w:link w:val="Graphic"/>
    <w:rsid w:val="005E2F7C"/>
  </w:style>
  <w:style w:type="character" w:styleId="UnresolvedMention">
    <w:name w:val="Unresolved Mention"/>
    <w:basedOn w:val="DefaultParagraphFont"/>
    <w:uiPriority w:val="99"/>
    <w:semiHidden/>
    <w:unhideWhenUsed/>
    <w:rsid w:val="003A563E"/>
    <w:rPr>
      <w:color w:val="605E5C"/>
      <w:shd w:val="clear" w:color="auto" w:fill="E1DFDD"/>
    </w:rPr>
  </w:style>
  <w:style w:type="character" w:styleId="Strong">
    <w:name w:val="Strong"/>
    <w:basedOn w:val="DefaultParagraphFont"/>
    <w:uiPriority w:val="22"/>
    <w:qFormat/>
    <w:rsid w:val="00A568BD"/>
    <w:rPr>
      <w:b/>
      <w:bCs/>
    </w:rPr>
  </w:style>
  <w:style w:type="paragraph" w:styleId="Caption">
    <w:name w:val="caption"/>
    <w:basedOn w:val="Normal"/>
    <w:next w:val="Normal"/>
    <w:uiPriority w:val="35"/>
    <w:unhideWhenUsed/>
    <w:qFormat/>
    <w:rsid w:val="00A568BD"/>
    <w:pPr>
      <w:spacing w:line="240" w:lineRule="auto"/>
    </w:pPr>
    <w:rPr>
      <w:b/>
      <w:bCs/>
      <w:smallCaps/>
      <w:color w:val="44546A" w:themeColor="text2"/>
    </w:rPr>
  </w:style>
  <w:style w:type="paragraph" w:styleId="NoSpacing">
    <w:name w:val="No Spacing"/>
    <w:link w:val="NoSpacingChar"/>
    <w:uiPriority w:val="1"/>
    <w:qFormat/>
    <w:rsid w:val="00A568BD"/>
    <w:pPr>
      <w:spacing w:after="0" w:line="240" w:lineRule="auto"/>
    </w:pPr>
  </w:style>
  <w:style w:type="character" w:customStyle="1" w:styleId="NoSpacingChar">
    <w:name w:val="No Spacing Char"/>
    <w:basedOn w:val="DefaultParagraphFont"/>
    <w:link w:val="NoSpacing"/>
    <w:uiPriority w:val="1"/>
    <w:rsid w:val="00E65BAD"/>
  </w:style>
  <w:style w:type="paragraph" w:styleId="TOC3">
    <w:name w:val="toc 3"/>
    <w:basedOn w:val="Normal"/>
    <w:next w:val="Normal"/>
    <w:autoRedefine/>
    <w:uiPriority w:val="39"/>
    <w:rsid w:val="007A52A1"/>
    <w:pPr>
      <w:tabs>
        <w:tab w:val="right" w:leader="dot" w:pos="9350"/>
      </w:tabs>
      <w:spacing w:after="0"/>
      <w:ind w:left="440"/>
    </w:pPr>
    <w:rPr>
      <w:sz w:val="20"/>
      <w:szCs w:val="20"/>
    </w:rPr>
  </w:style>
  <w:style w:type="paragraph" w:styleId="TOC4">
    <w:name w:val="toc 4"/>
    <w:basedOn w:val="Normal"/>
    <w:next w:val="Normal"/>
    <w:autoRedefine/>
    <w:uiPriority w:val="39"/>
    <w:semiHidden/>
    <w:rsid w:val="00B26B56"/>
    <w:pPr>
      <w:spacing w:after="0"/>
      <w:ind w:left="660"/>
    </w:pPr>
    <w:rPr>
      <w:sz w:val="20"/>
      <w:szCs w:val="20"/>
    </w:rPr>
  </w:style>
  <w:style w:type="paragraph" w:styleId="TOC5">
    <w:name w:val="toc 5"/>
    <w:basedOn w:val="Normal"/>
    <w:next w:val="Normal"/>
    <w:autoRedefine/>
    <w:uiPriority w:val="39"/>
    <w:semiHidden/>
    <w:rsid w:val="00B26B56"/>
    <w:pPr>
      <w:spacing w:after="0"/>
      <w:ind w:left="880"/>
    </w:pPr>
    <w:rPr>
      <w:sz w:val="20"/>
      <w:szCs w:val="20"/>
    </w:rPr>
  </w:style>
  <w:style w:type="paragraph" w:styleId="TOC6">
    <w:name w:val="toc 6"/>
    <w:basedOn w:val="Normal"/>
    <w:next w:val="Normal"/>
    <w:autoRedefine/>
    <w:uiPriority w:val="39"/>
    <w:semiHidden/>
    <w:rsid w:val="00B26B56"/>
    <w:pPr>
      <w:spacing w:after="0"/>
      <w:ind w:left="1100"/>
    </w:pPr>
    <w:rPr>
      <w:sz w:val="20"/>
      <w:szCs w:val="20"/>
    </w:rPr>
  </w:style>
  <w:style w:type="paragraph" w:styleId="TOC7">
    <w:name w:val="toc 7"/>
    <w:basedOn w:val="Normal"/>
    <w:next w:val="Normal"/>
    <w:autoRedefine/>
    <w:uiPriority w:val="39"/>
    <w:semiHidden/>
    <w:rsid w:val="00B26B56"/>
    <w:pPr>
      <w:spacing w:after="0"/>
      <w:ind w:left="1320"/>
    </w:pPr>
    <w:rPr>
      <w:sz w:val="20"/>
      <w:szCs w:val="20"/>
    </w:rPr>
  </w:style>
  <w:style w:type="paragraph" w:styleId="TOC8">
    <w:name w:val="toc 8"/>
    <w:basedOn w:val="Normal"/>
    <w:next w:val="Normal"/>
    <w:autoRedefine/>
    <w:uiPriority w:val="39"/>
    <w:semiHidden/>
    <w:rsid w:val="00B26B56"/>
    <w:pPr>
      <w:spacing w:after="0"/>
      <w:ind w:left="1540"/>
    </w:pPr>
    <w:rPr>
      <w:sz w:val="20"/>
      <w:szCs w:val="20"/>
    </w:rPr>
  </w:style>
  <w:style w:type="paragraph" w:styleId="TOC9">
    <w:name w:val="toc 9"/>
    <w:basedOn w:val="Normal"/>
    <w:next w:val="Normal"/>
    <w:autoRedefine/>
    <w:uiPriority w:val="39"/>
    <w:semiHidden/>
    <w:rsid w:val="00B26B56"/>
    <w:pPr>
      <w:spacing w:after="0"/>
      <w:ind w:left="1760"/>
    </w:pPr>
    <w:rPr>
      <w:sz w:val="20"/>
      <w:szCs w:val="20"/>
    </w:rPr>
  </w:style>
  <w:style w:type="character" w:styleId="CommentReference">
    <w:name w:val="annotation reference"/>
    <w:basedOn w:val="DefaultParagraphFont"/>
    <w:uiPriority w:val="99"/>
    <w:semiHidden/>
    <w:unhideWhenUsed/>
    <w:rsid w:val="008A32E6"/>
    <w:rPr>
      <w:sz w:val="16"/>
      <w:szCs w:val="16"/>
    </w:rPr>
  </w:style>
  <w:style w:type="paragraph" w:styleId="CommentText">
    <w:name w:val="annotation text"/>
    <w:basedOn w:val="Normal"/>
    <w:link w:val="CommentTextChar"/>
    <w:uiPriority w:val="99"/>
    <w:unhideWhenUsed/>
    <w:rsid w:val="008A32E6"/>
    <w:pPr>
      <w:spacing w:line="240" w:lineRule="auto"/>
    </w:pPr>
    <w:rPr>
      <w:sz w:val="20"/>
      <w:szCs w:val="20"/>
    </w:rPr>
  </w:style>
  <w:style w:type="character" w:customStyle="1" w:styleId="CommentTextChar">
    <w:name w:val="Comment Text Char"/>
    <w:basedOn w:val="DefaultParagraphFont"/>
    <w:link w:val="CommentText"/>
    <w:uiPriority w:val="99"/>
    <w:rsid w:val="008A32E6"/>
    <w:rPr>
      <w:sz w:val="20"/>
      <w:szCs w:val="20"/>
    </w:rPr>
  </w:style>
  <w:style w:type="paragraph" w:styleId="CommentSubject">
    <w:name w:val="annotation subject"/>
    <w:basedOn w:val="CommentText"/>
    <w:next w:val="CommentText"/>
    <w:link w:val="CommentSubjectChar"/>
    <w:uiPriority w:val="99"/>
    <w:semiHidden/>
    <w:unhideWhenUsed/>
    <w:rsid w:val="008A32E6"/>
    <w:rPr>
      <w:b/>
      <w:bCs/>
    </w:rPr>
  </w:style>
  <w:style w:type="character" w:customStyle="1" w:styleId="CommentSubjectChar">
    <w:name w:val="Comment Subject Char"/>
    <w:basedOn w:val="CommentTextChar"/>
    <w:link w:val="CommentSubject"/>
    <w:uiPriority w:val="99"/>
    <w:semiHidden/>
    <w:rsid w:val="008A32E6"/>
    <w:rPr>
      <w:b/>
      <w:bCs/>
      <w:sz w:val="20"/>
      <w:szCs w:val="20"/>
    </w:rPr>
  </w:style>
  <w:style w:type="character" w:styleId="PageNumber">
    <w:name w:val="page number"/>
    <w:basedOn w:val="DefaultParagraphFont"/>
    <w:uiPriority w:val="99"/>
    <w:semiHidden/>
    <w:unhideWhenUsed/>
    <w:rsid w:val="00B562A1"/>
  </w:style>
  <w:style w:type="character" w:styleId="FollowedHyperlink">
    <w:name w:val="FollowedHyperlink"/>
    <w:basedOn w:val="DefaultParagraphFont"/>
    <w:uiPriority w:val="99"/>
    <w:semiHidden/>
    <w:unhideWhenUsed/>
    <w:rsid w:val="007E476D"/>
    <w:rPr>
      <w:color w:val="954F72" w:themeColor="followedHyperlink"/>
      <w:u w:val="single"/>
    </w:rPr>
  </w:style>
  <w:style w:type="paragraph" w:styleId="z-TopofForm">
    <w:name w:val="HTML Top of Form"/>
    <w:basedOn w:val="Normal"/>
    <w:next w:val="Normal"/>
    <w:link w:val="z-TopofFormChar"/>
    <w:hidden/>
    <w:uiPriority w:val="99"/>
    <w:semiHidden/>
    <w:unhideWhenUsed/>
    <w:rsid w:val="00DF3F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3F81"/>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A568B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8BD"/>
    <w:rPr>
      <w:rFonts w:asciiTheme="majorHAnsi" w:eastAsiaTheme="majorEastAsia" w:hAnsiTheme="majorHAnsi" w:cstheme="majorBidi"/>
      <w:color w:val="2F5496" w:themeColor="accent1" w:themeShade="BF"/>
      <w:sz w:val="24"/>
      <w:szCs w:val="24"/>
    </w:rPr>
  </w:style>
  <w:style w:type="paragraph" w:styleId="Revision">
    <w:name w:val="Revision"/>
    <w:hidden/>
    <w:uiPriority w:val="99"/>
    <w:semiHidden/>
    <w:rsid w:val="00585CD2"/>
    <w:pPr>
      <w:spacing w:after="0" w:line="240" w:lineRule="auto"/>
    </w:pPr>
  </w:style>
  <w:style w:type="character" w:customStyle="1" w:styleId="Heading5Char">
    <w:name w:val="Heading 5 Char"/>
    <w:basedOn w:val="DefaultParagraphFont"/>
    <w:link w:val="Heading5"/>
    <w:uiPriority w:val="9"/>
    <w:semiHidden/>
    <w:rsid w:val="00A568B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568B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568B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568B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568BD"/>
    <w:rPr>
      <w:rFonts w:asciiTheme="majorHAnsi" w:eastAsiaTheme="majorEastAsia" w:hAnsiTheme="majorHAnsi" w:cstheme="majorBidi"/>
      <w:i/>
      <w:iCs/>
      <w:color w:val="1F3864" w:themeColor="accent1" w:themeShade="80"/>
    </w:rPr>
  </w:style>
  <w:style w:type="character" w:styleId="Emphasis">
    <w:name w:val="Emphasis"/>
    <w:basedOn w:val="DefaultParagraphFont"/>
    <w:uiPriority w:val="20"/>
    <w:qFormat/>
    <w:rsid w:val="00A568BD"/>
    <w:rPr>
      <w:i/>
      <w:iCs/>
    </w:rPr>
  </w:style>
  <w:style w:type="paragraph" w:styleId="Quote">
    <w:name w:val="Quote"/>
    <w:basedOn w:val="Normal"/>
    <w:next w:val="Normal"/>
    <w:link w:val="QuoteChar"/>
    <w:uiPriority w:val="29"/>
    <w:qFormat/>
    <w:rsid w:val="00A568B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568BD"/>
    <w:rPr>
      <w:color w:val="44546A" w:themeColor="text2"/>
      <w:sz w:val="24"/>
      <w:szCs w:val="24"/>
    </w:rPr>
  </w:style>
  <w:style w:type="paragraph" w:styleId="IntenseQuote">
    <w:name w:val="Intense Quote"/>
    <w:basedOn w:val="Normal"/>
    <w:next w:val="Normal"/>
    <w:link w:val="IntenseQuoteChar"/>
    <w:uiPriority w:val="30"/>
    <w:qFormat/>
    <w:rsid w:val="00A568B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568B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568BD"/>
    <w:rPr>
      <w:i/>
      <w:iCs/>
      <w:color w:val="595959" w:themeColor="text1" w:themeTint="A6"/>
    </w:rPr>
  </w:style>
  <w:style w:type="character" w:styleId="IntenseEmphasis">
    <w:name w:val="Intense Emphasis"/>
    <w:basedOn w:val="DefaultParagraphFont"/>
    <w:uiPriority w:val="21"/>
    <w:qFormat/>
    <w:rsid w:val="00A568BD"/>
    <w:rPr>
      <w:b/>
      <w:bCs/>
      <w:i/>
      <w:iCs/>
    </w:rPr>
  </w:style>
  <w:style w:type="character" w:styleId="SubtleReference">
    <w:name w:val="Subtle Reference"/>
    <w:basedOn w:val="DefaultParagraphFont"/>
    <w:uiPriority w:val="31"/>
    <w:qFormat/>
    <w:rsid w:val="00A568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568BD"/>
    <w:rPr>
      <w:b/>
      <w:bCs/>
      <w:smallCaps/>
      <w:color w:val="44546A" w:themeColor="text2"/>
      <w:u w:val="single"/>
    </w:rPr>
  </w:style>
  <w:style w:type="character" w:styleId="BookTitle">
    <w:name w:val="Book Title"/>
    <w:basedOn w:val="DefaultParagraphFont"/>
    <w:uiPriority w:val="33"/>
    <w:qFormat/>
    <w:rsid w:val="00A568BD"/>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212">
      <w:bodyDiv w:val="1"/>
      <w:marLeft w:val="0"/>
      <w:marRight w:val="0"/>
      <w:marTop w:val="0"/>
      <w:marBottom w:val="0"/>
      <w:divBdr>
        <w:top w:val="none" w:sz="0" w:space="0" w:color="auto"/>
        <w:left w:val="none" w:sz="0" w:space="0" w:color="auto"/>
        <w:bottom w:val="none" w:sz="0" w:space="0" w:color="auto"/>
        <w:right w:val="none" w:sz="0" w:space="0" w:color="auto"/>
      </w:divBdr>
    </w:div>
    <w:div w:id="7949660">
      <w:bodyDiv w:val="1"/>
      <w:marLeft w:val="0"/>
      <w:marRight w:val="0"/>
      <w:marTop w:val="0"/>
      <w:marBottom w:val="0"/>
      <w:divBdr>
        <w:top w:val="none" w:sz="0" w:space="0" w:color="auto"/>
        <w:left w:val="none" w:sz="0" w:space="0" w:color="auto"/>
        <w:bottom w:val="none" w:sz="0" w:space="0" w:color="auto"/>
        <w:right w:val="none" w:sz="0" w:space="0" w:color="auto"/>
      </w:divBdr>
    </w:div>
    <w:div w:id="42952960">
      <w:bodyDiv w:val="1"/>
      <w:marLeft w:val="0"/>
      <w:marRight w:val="0"/>
      <w:marTop w:val="0"/>
      <w:marBottom w:val="0"/>
      <w:divBdr>
        <w:top w:val="none" w:sz="0" w:space="0" w:color="auto"/>
        <w:left w:val="none" w:sz="0" w:space="0" w:color="auto"/>
        <w:bottom w:val="none" w:sz="0" w:space="0" w:color="auto"/>
        <w:right w:val="none" w:sz="0" w:space="0" w:color="auto"/>
      </w:divBdr>
    </w:div>
    <w:div w:id="80953013">
      <w:bodyDiv w:val="1"/>
      <w:marLeft w:val="0"/>
      <w:marRight w:val="0"/>
      <w:marTop w:val="0"/>
      <w:marBottom w:val="0"/>
      <w:divBdr>
        <w:top w:val="none" w:sz="0" w:space="0" w:color="auto"/>
        <w:left w:val="none" w:sz="0" w:space="0" w:color="auto"/>
        <w:bottom w:val="none" w:sz="0" w:space="0" w:color="auto"/>
        <w:right w:val="none" w:sz="0" w:space="0" w:color="auto"/>
      </w:divBdr>
    </w:div>
    <w:div w:id="123889363">
      <w:bodyDiv w:val="1"/>
      <w:marLeft w:val="0"/>
      <w:marRight w:val="0"/>
      <w:marTop w:val="0"/>
      <w:marBottom w:val="0"/>
      <w:divBdr>
        <w:top w:val="none" w:sz="0" w:space="0" w:color="auto"/>
        <w:left w:val="none" w:sz="0" w:space="0" w:color="auto"/>
        <w:bottom w:val="none" w:sz="0" w:space="0" w:color="auto"/>
        <w:right w:val="none" w:sz="0" w:space="0" w:color="auto"/>
      </w:divBdr>
    </w:div>
    <w:div w:id="180167810">
      <w:bodyDiv w:val="1"/>
      <w:marLeft w:val="0"/>
      <w:marRight w:val="0"/>
      <w:marTop w:val="0"/>
      <w:marBottom w:val="0"/>
      <w:divBdr>
        <w:top w:val="none" w:sz="0" w:space="0" w:color="auto"/>
        <w:left w:val="none" w:sz="0" w:space="0" w:color="auto"/>
        <w:bottom w:val="none" w:sz="0" w:space="0" w:color="auto"/>
        <w:right w:val="none" w:sz="0" w:space="0" w:color="auto"/>
      </w:divBdr>
    </w:div>
    <w:div w:id="271010280">
      <w:bodyDiv w:val="1"/>
      <w:marLeft w:val="0"/>
      <w:marRight w:val="0"/>
      <w:marTop w:val="0"/>
      <w:marBottom w:val="0"/>
      <w:divBdr>
        <w:top w:val="none" w:sz="0" w:space="0" w:color="auto"/>
        <w:left w:val="none" w:sz="0" w:space="0" w:color="auto"/>
        <w:bottom w:val="none" w:sz="0" w:space="0" w:color="auto"/>
        <w:right w:val="none" w:sz="0" w:space="0" w:color="auto"/>
      </w:divBdr>
    </w:div>
    <w:div w:id="313989171">
      <w:bodyDiv w:val="1"/>
      <w:marLeft w:val="0"/>
      <w:marRight w:val="0"/>
      <w:marTop w:val="0"/>
      <w:marBottom w:val="0"/>
      <w:divBdr>
        <w:top w:val="none" w:sz="0" w:space="0" w:color="auto"/>
        <w:left w:val="none" w:sz="0" w:space="0" w:color="auto"/>
        <w:bottom w:val="none" w:sz="0" w:space="0" w:color="auto"/>
        <w:right w:val="none" w:sz="0" w:space="0" w:color="auto"/>
      </w:divBdr>
    </w:div>
    <w:div w:id="325791636">
      <w:bodyDiv w:val="1"/>
      <w:marLeft w:val="0"/>
      <w:marRight w:val="0"/>
      <w:marTop w:val="0"/>
      <w:marBottom w:val="0"/>
      <w:divBdr>
        <w:top w:val="none" w:sz="0" w:space="0" w:color="auto"/>
        <w:left w:val="none" w:sz="0" w:space="0" w:color="auto"/>
        <w:bottom w:val="none" w:sz="0" w:space="0" w:color="auto"/>
        <w:right w:val="none" w:sz="0" w:space="0" w:color="auto"/>
      </w:divBdr>
    </w:div>
    <w:div w:id="379670165">
      <w:bodyDiv w:val="1"/>
      <w:marLeft w:val="0"/>
      <w:marRight w:val="0"/>
      <w:marTop w:val="0"/>
      <w:marBottom w:val="0"/>
      <w:divBdr>
        <w:top w:val="none" w:sz="0" w:space="0" w:color="auto"/>
        <w:left w:val="none" w:sz="0" w:space="0" w:color="auto"/>
        <w:bottom w:val="none" w:sz="0" w:space="0" w:color="auto"/>
        <w:right w:val="none" w:sz="0" w:space="0" w:color="auto"/>
      </w:divBdr>
    </w:div>
    <w:div w:id="405297643">
      <w:bodyDiv w:val="1"/>
      <w:marLeft w:val="0"/>
      <w:marRight w:val="0"/>
      <w:marTop w:val="0"/>
      <w:marBottom w:val="0"/>
      <w:divBdr>
        <w:top w:val="none" w:sz="0" w:space="0" w:color="auto"/>
        <w:left w:val="none" w:sz="0" w:space="0" w:color="auto"/>
        <w:bottom w:val="none" w:sz="0" w:space="0" w:color="auto"/>
        <w:right w:val="none" w:sz="0" w:space="0" w:color="auto"/>
      </w:divBdr>
      <w:divsChild>
        <w:div w:id="200871517">
          <w:marLeft w:val="0"/>
          <w:marRight w:val="0"/>
          <w:marTop w:val="0"/>
          <w:marBottom w:val="0"/>
          <w:divBdr>
            <w:top w:val="none" w:sz="0" w:space="0" w:color="auto"/>
            <w:left w:val="none" w:sz="0" w:space="0" w:color="auto"/>
            <w:bottom w:val="none" w:sz="0" w:space="0" w:color="auto"/>
            <w:right w:val="none" w:sz="0" w:space="0" w:color="auto"/>
          </w:divBdr>
        </w:div>
        <w:div w:id="1513490843">
          <w:marLeft w:val="0"/>
          <w:marRight w:val="0"/>
          <w:marTop w:val="0"/>
          <w:marBottom w:val="0"/>
          <w:divBdr>
            <w:top w:val="single" w:sz="2" w:space="0" w:color="D9D9E3"/>
            <w:left w:val="single" w:sz="2" w:space="0" w:color="D9D9E3"/>
            <w:bottom w:val="single" w:sz="2" w:space="0" w:color="D9D9E3"/>
            <w:right w:val="single" w:sz="2" w:space="0" w:color="D9D9E3"/>
          </w:divBdr>
          <w:divsChild>
            <w:div w:id="587428728">
              <w:marLeft w:val="0"/>
              <w:marRight w:val="0"/>
              <w:marTop w:val="0"/>
              <w:marBottom w:val="0"/>
              <w:divBdr>
                <w:top w:val="single" w:sz="2" w:space="0" w:color="D9D9E3"/>
                <w:left w:val="single" w:sz="2" w:space="0" w:color="D9D9E3"/>
                <w:bottom w:val="single" w:sz="2" w:space="0" w:color="D9D9E3"/>
                <w:right w:val="single" w:sz="2" w:space="0" w:color="D9D9E3"/>
              </w:divBdr>
              <w:divsChild>
                <w:div w:id="1674457626">
                  <w:marLeft w:val="0"/>
                  <w:marRight w:val="0"/>
                  <w:marTop w:val="0"/>
                  <w:marBottom w:val="0"/>
                  <w:divBdr>
                    <w:top w:val="single" w:sz="2" w:space="0" w:color="D9D9E3"/>
                    <w:left w:val="single" w:sz="2" w:space="0" w:color="D9D9E3"/>
                    <w:bottom w:val="single" w:sz="2" w:space="0" w:color="D9D9E3"/>
                    <w:right w:val="single" w:sz="2" w:space="0" w:color="D9D9E3"/>
                  </w:divBdr>
                  <w:divsChild>
                    <w:div w:id="1233925146">
                      <w:marLeft w:val="0"/>
                      <w:marRight w:val="0"/>
                      <w:marTop w:val="0"/>
                      <w:marBottom w:val="0"/>
                      <w:divBdr>
                        <w:top w:val="single" w:sz="2" w:space="0" w:color="D9D9E3"/>
                        <w:left w:val="single" w:sz="2" w:space="0" w:color="D9D9E3"/>
                        <w:bottom w:val="single" w:sz="2" w:space="0" w:color="D9D9E3"/>
                        <w:right w:val="single" w:sz="2" w:space="0" w:color="D9D9E3"/>
                      </w:divBdr>
                      <w:divsChild>
                        <w:div w:id="1475373606">
                          <w:marLeft w:val="0"/>
                          <w:marRight w:val="0"/>
                          <w:marTop w:val="0"/>
                          <w:marBottom w:val="0"/>
                          <w:divBdr>
                            <w:top w:val="single" w:sz="2" w:space="0" w:color="auto"/>
                            <w:left w:val="single" w:sz="2" w:space="0" w:color="auto"/>
                            <w:bottom w:val="single" w:sz="6" w:space="0" w:color="auto"/>
                            <w:right w:val="single" w:sz="2" w:space="0" w:color="auto"/>
                          </w:divBdr>
                          <w:divsChild>
                            <w:div w:id="293951813">
                              <w:marLeft w:val="0"/>
                              <w:marRight w:val="0"/>
                              <w:marTop w:val="100"/>
                              <w:marBottom w:val="100"/>
                              <w:divBdr>
                                <w:top w:val="single" w:sz="2" w:space="0" w:color="D9D9E3"/>
                                <w:left w:val="single" w:sz="2" w:space="0" w:color="D9D9E3"/>
                                <w:bottom w:val="single" w:sz="2" w:space="0" w:color="D9D9E3"/>
                                <w:right w:val="single" w:sz="2" w:space="0" w:color="D9D9E3"/>
                              </w:divBdr>
                              <w:divsChild>
                                <w:div w:id="970549189">
                                  <w:marLeft w:val="0"/>
                                  <w:marRight w:val="0"/>
                                  <w:marTop w:val="0"/>
                                  <w:marBottom w:val="0"/>
                                  <w:divBdr>
                                    <w:top w:val="single" w:sz="2" w:space="0" w:color="D9D9E3"/>
                                    <w:left w:val="single" w:sz="2" w:space="0" w:color="D9D9E3"/>
                                    <w:bottom w:val="single" w:sz="2" w:space="0" w:color="D9D9E3"/>
                                    <w:right w:val="single" w:sz="2" w:space="0" w:color="D9D9E3"/>
                                  </w:divBdr>
                                  <w:divsChild>
                                    <w:div w:id="1449854374">
                                      <w:marLeft w:val="0"/>
                                      <w:marRight w:val="0"/>
                                      <w:marTop w:val="0"/>
                                      <w:marBottom w:val="0"/>
                                      <w:divBdr>
                                        <w:top w:val="single" w:sz="2" w:space="0" w:color="D9D9E3"/>
                                        <w:left w:val="single" w:sz="2" w:space="0" w:color="D9D9E3"/>
                                        <w:bottom w:val="single" w:sz="2" w:space="0" w:color="D9D9E3"/>
                                        <w:right w:val="single" w:sz="2" w:space="0" w:color="D9D9E3"/>
                                      </w:divBdr>
                                      <w:divsChild>
                                        <w:div w:id="1099985336">
                                          <w:marLeft w:val="0"/>
                                          <w:marRight w:val="0"/>
                                          <w:marTop w:val="0"/>
                                          <w:marBottom w:val="0"/>
                                          <w:divBdr>
                                            <w:top w:val="single" w:sz="2" w:space="0" w:color="D9D9E3"/>
                                            <w:left w:val="single" w:sz="2" w:space="0" w:color="D9D9E3"/>
                                            <w:bottom w:val="single" w:sz="2" w:space="0" w:color="D9D9E3"/>
                                            <w:right w:val="single" w:sz="2" w:space="0" w:color="D9D9E3"/>
                                          </w:divBdr>
                                          <w:divsChild>
                                            <w:div w:id="108664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34177734">
      <w:bodyDiv w:val="1"/>
      <w:marLeft w:val="0"/>
      <w:marRight w:val="0"/>
      <w:marTop w:val="0"/>
      <w:marBottom w:val="0"/>
      <w:divBdr>
        <w:top w:val="none" w:sz="0" w:space="0" w:color="auto"/>
        <w:left w:val="none" w:sz="0" w:space="0" w:color="auto"/>
        <w:bottom w:val="none" w:sz="0" w:space="0" w:color="auto"/>
        <w:right w:val="none" w:sz="0" w:space="0" w:color="auto"/>
      </w:divBdr>
    </w:div>
    <w:div w:id="472842454">
      <w:bodyDiv w:val="1"/>
      <w:marLeft w:val="0"/>
      <w:marRight w:val="0"/>
      <w:marTop w:val="0"/>
      <w:marBottom w:val="0"/>
      <w:divBdr>
        <w:top w:val="none" w:sz="0" w:space="0" w:color="auto"/>
        <w:left w:val="none" w:sz="0" w:space="0" w:color="auto"/>
        <w:bottom w:val="none" w:sz="0" w:space="0" w:color="auto"/>
        <w:right w:val="none" w:sz="0" w:space="0" w:color="auto"/>
      </w:divBdr>
      <w:divsChild>
        <w:div w:id="264193460">
          <w:marLeft w:val="720"/>
          <w:marRight w:val="0"/>
          <w:marTop w:val="240"/>
          <w:marBottom w:val="0"/>
          <w:divBdr>
            <w:top w:val="none" w:sz="0" w:space="0" w:color="auto"/>
            <w:left w:val="none" w:sz="0" w:space="0" w:color="auto"/>
            <w:bottom w:val="none" w:sz="0" w:space="0" w:color="auto"/>
            <w:right w:val="none" w:sz="0" w:space="0" w:color="auto"/>
          </w:divBdr>
        </w:div>
        <w:div w:id="649753460">
          <w:marLeft w:val="720"/>
          <w:marRight w:val="0"/>
          <w:marTop w:val="240"/>
          <w:marBottom w:val="0"/>
          <w:divBdr>
            <w:top w:val="none" w:sz="0" w:space="0" w:color="auto"/>
            <w:left w:val="none" w:sz="0" w:space="0" w:color="auto"/>
            <w:bottom w:val="none" w:sz="0" w:space="0" w:color="auto"/>
            <w:right w:val="none" w:sz="0" w:space="0" w:color="auto"/>
          </w:divBdr>
        </w:div>
        <w:div w:id="836116980">
          <w:marLeft w:val="720"/>
          <w:marRight w:val="0"/>
          <w:marTop w:val="240"/>
          <w:marBottom w:val="0"/>
          <w:divBdr>
            <w:top w:val="none" w:sz="0" w:space="0" w:color="auto"/>
            <w:left w:val="none" w:sz="0" w:space="0" w:color="auto"/>
            <w:bottom w:val="none" w:sz="0" w:space="0" w:color="auto"/>
            <w:right w:val="none" w:sz="0" w:space="0" w:color="auto"/>
          </w:divBdr>
        </w:div>
        <w:div w:id="1430852396">
          <w:marLeft w:val="720"/>
          <w:marRight w:val="0"/>
          <w:marTop w:val="240"/>
          <w:marBottom w:val="0"/>
          <w:divBdr>
            <w:top w:val="none" w:sz="0" w:space="0" w:color="auto"/>
            <w:left w:val="none" w:sz="0" w:space="0" w:color="auto"/>
            <w:bottom w:val="none" w:sz="0" w:space="0" w:color="auto"/>
            <w:right w:val="none" w:sz="0" w:space="0" w:color="auto"/>
          </w:divBdr>
        </w:div>
      </w:divsChild>
    </w:div>
    <w:div w:id="538588076">
      <w:bodyDiv w:val="1"/>
      <w:marLeft w:val="0"/>
      <w:marRight w:val="0"/>
      <w:marTop w:val="0"/>
      <w:marBottom w:val="0"/>
      <w:divBdr>
        <w:top w:val="none" w:sz="0" w:space="0" w:color="auto"/>
        <w:left w:val="none" w:sz="0" w:space="0" w:color="auto"/>
        <w:bottom w:val="none" w:sz="0" w:space="0" w:color="auto"/>
        <w:right w:val="none" w:sz="0" w:space="0" w:color="auto"/>
      </w:divBdr>
    </w:div>
    <w:div w:id="540484185">
      <w:bodyDiv w:val="1"/>
      <w:marLeft w:val="0"/>
      <w:marRight w:val="0"/>
      <w:marTop w:val="0"/>
      <w:marBottom w:val="0"/>
      <w:divBdr>
        <w:top w:val="none" w:sz="0" w:space="0" w:color="auto"/>
        <w:left w:val="none" w:sz="0" w:space="0" w:color="auto"/>
        <w:bottom w:val="none" w:sz="0" w:space="0" w:color="auto"/>
        <w:right w:val="none" w:sz="0" w:space="0" w:color="auto"/>
      </w:divBdr>
    </w:div>
    <w:div w:id="646401643">
      <w:bodyDiv w:val="1"/>
      <w:marLeft w:val="0"/>
      <w:marRight w:val="0"/>
      <w:marTop w:val="0"/>
      <w:marBottom w:val="0"/>
      <w:divBdr>
        <w:top w:val="none" w:sz="0" w:space="0" w:color="auto"/>
        <w:left w:val="none" w:sz="0" w:space="0" w:color="auto"/>
        <w:bottom w:val="none" w:sz="0" w:space="0" w:color="auto"/>
        <w:right w:val="none" w:sz="0" w:space="0" w:color="auto"/>
      </w:divBdr>
    </w:div>
    <w:div w:id="765463904">
      <w:bodyDiv w:val="1"/>
      <w:marLeft w:val="0"/>
      <w:marRight w:val="0"/>
      <w:marTop w:val="0"/>
      <w:marBottom w:val="0"/>
      <w:divBdr>
        <w:top w:val="none" w:sz="0" w:space="0" w:color="auto"/>
        <w:left w:val="none" w:sz="0" w:space="0" w:color="auto"/>
        <w:bottom w:val="none" w:sz="0" w:space="0" w:color="auto"/>
        <w:right w:val="none" w:sz="0" w:space="0" w:color="auto"/>
      </w:divBdr>
    </w:div>
    <w:div w:id="790783978">
      <w:bodyDiv w:val="1"/>
      <w:marLeft w:val="0"/>
      <w:marRight w:val="0"/>
      <w:marTop w:val="0"/>
      <w:marBottom w:val="0"/>
      <w:divBdr>
        <w:top w:val="none" w:sz="0" w:space="0" w:color="auto"/>
        <w:left w:val="none" w:sz="0" w:space="0" w:color="auto"/>
        <w:bottom w:val="none" w:sz="0" w:space="0" w:color="auto"/>
        <w:right w:val="none" w:sz="0" w:space="0" w:color="auto"/>
      </w:divBdr>
    </w:div>
    <w:div w:id="806048476">
      <w:bodyDiv w:val="1"/>
      <w:marLeft w:val="0"/>
      <w:marRight w:val="0"/>
      <w:marTop w:val="0"/>
      <w:marBottom w:val="0"/>
      <w:divBdr>
        <w:top w:val="none" w:sz="0" w:space="0" w:color="auto"/>
        <w:left w:val="none" w:sz="0" w:space="0" w:color="auto"/>
        <w:bottom w:val="none" w:sz="0" w:space="0" w:color="auto"/>
        <w:right w:val="none" w:sz="0" w:space="0" w:color="auto"/>
      </w:divBdr>
    </w:div>
    <w:div w:id="815951650">
      <w:bodyDiv w:val="1"/>
      <w:marLeft w:val="0"/>
      <w:marRight w:val="0"/>
      <w:marTop w:val="0"/>
      <w:marBottom w:val="0"/>
      <w:divBdr>
        <w:top w:val="none" w:sz="0" w:space="0" w:color="auto"/>
        <w:left w:val="none" w:sz="0" w:space="0" w:color="auto"/>
        <w:bottom w:val="none" w:sz="0" w:space="0" w:color="auto"/>
        <w:right w:val="none" w:sz="0" w:space="0" w:color="auto"/>
      </w:divBdr>
    </w:div>
    <w:div w:id="969090514">
      <w:bodyDiv w:val="1"/>
      <w:marLeft w:val="0"/>
      <w:marRight w:val="0"/>
      <w:marTop w:val="0"/>
      <w:marBottom w:val="0"/>
      <w:divBdr>
        <w:top w:val="none" w:sz="0" w:space="0" w:color="auto"/>
        <w:left w:val="none" w:sz="0" w:space="0" w:color="auto"/>
        <w:bottom w:val="none" w:sz="0" w:space="0" w:color="auto"/>
        <w:right w:val="none" w:sz="0" w:space="0" w:color="auto"/>
      </w:divBdr>
    </w:div>
    <w:div w:id="973560593">
      <w:bodyDiv w:val="1"/>
      <w:marLeft w:val="0"/>
      <w:marRight w:val="0"/>
      <w:marTop w:val="0"/>
      <w:marBottom w:val="0"/>
      <w:divBdr>
        <w:top w:val="none" w:sz="0" w:space="0" w:color="auto"/>
        <w:left w:val="none" w:sz="0" w:space="0" w:color="auto"/>
        <w:bottom w:val="none" w:sz="0" w:space="0" w:color="auto"/>
        <w:right w:val="none" w:sz="0" w:space="0" w:color="auto"/>
      </w:divBdr>
    </w:div>
    <w:div w:id="1015107385">
      <w:bodyDiv w:val="1"/>
      <w:marLeft w:val="0"/>
      <w:marRight w:val="0"/>
      <w:marTop w:val="0"/>
      <w:marBottom w:val="0"/>
      <w:divBdr>
        <w:top w:val="none" w:sz="0" w:space="0" w:color="auto"/>
        <w:left w:val="none" w:sz="0" w:space="0" w:color="auto"/>
        <w:bottom w:val="none" w:sz="0" w:space="0" w:color="auto"/>
        <w:right w:val="none" w:sz="0" w:space="0" w:color="auto"/>
      </w:divBdr>
    </w:div>
    <w:div w:id="1028263926">
      <w:bodyDiv w:val="1"/>
      <w:marLeft w:val="0"/>
      <w:marRight w:val="0"/>
      <w:marTop w:val="0"/>
      <w:marBottom w:val="0"/>
      <w:divBdr>
        <w:top w:val="none" w:sz="0" w:space="0" w:color="auto"/>
        <w:left w:val="none" w:sz="0" w:space="0" w:color="auto"/>
        <w:bottom w:val="none" w:sz="0" w:space="0" w:color="auto"/>
        <w:right w:val="none" w:sz="0" w:space="0" w:color="auto"/>
      </w:divBdr>
    </w:div>
    <w:div w:id="1074860484">
      <w:bodyDiv w:val="1"/>
      <w:marLeft w:val="0"/>
      <w:marRight w:val="0"/>
      <w:marTop w:val="0"/>
      <w:marBottom w:val="0"/>
      <w:divBdr>
        <w:top w:val="none" w:sz="0" w:space="0" w:color="auto"/>
        <w:left w:val="none" w:sz="0" w:space="0" w:color="auto"/>
        <w:bottom w:val="none" w:sz="0" w:space="0" w:color="auto"/>
        <w:right w:val="none" w:sz="0" w:space="0" w:color="auto"/>
      </w:divBdr>
    </w:div>
    <w:div w:id="1228608268">
      <w:bodyDiv w:val="1"/>
      <w:marLeft w:val="0"/>
      <w:marRight w:val="0"/>
      <w:marTop w:val="0"/>
      <w:marBottom w:val="0"/>
      <w:divBdr>
        <w:top w:val="none" w:sz="0" w:space="0" w:color="auto"/>
        <w:left w:val="none" w:sz="0" w:space="0" w:color="auto"/>
        <w:bottom w:val="none" w:sz="0" w:space="0" w:color="auto"/>
        <w:right w:val="none" w:sz="0" w:space="0" w:color="auto"/>
      </w:divBdr>
    </w:div>
    <w:div w:id="1322461904">
      <w:bodyDiv w:val="1"/>
      <w:marLeft w:val="0"/>
      <w:marRight w:val="0"/>
      <w:marTop w:val="0"/>
      <w:marBottom w:val="0"/>
      <w:divBdr>
        <w:top w:val="none" w:sz="0" w:space="0" w:color="auto"/>
        <w:left w:val="none" w:sz="0" w:space="0" w:color="auto"/>
        <w:bottom w:val="none" w:sz="0" w:space="0" w:color="auto"/>
        <w:right w:val="none" w:sz="0" w:space="0" w:color="auto"/>
      </w:divBdr>
      <w:divsChild>
        <w:div w:id="1660379989">
          <w:marLeft w:val="0"/>
          <w:marRight w:val="0"/>
          <w:marTop w:val="0"/>
          <w:marBottom w:val="0"/>
          <w:divBdr>
            <w:top w:val="single" w:sz="2" w:space="0" w:color="D9D9E3"/>
            <w:left w:val="single" w:sz="2" w:space="0" w:color="D9D9E3"/>
            <w:bottom w:val="single" w:sz="2" w:space="0" w:color="D9D9E3"/>
            <w:right w:val="single" w:sz="2" w:space="0" w:color="D9D9E3"/>
          </w:divBdr>
          <w:divsChild>
            <w:div w:id="2072845193">
              <w:marLeft w:val="0"/>
              <w:marRight w:val="0"/>
              <w:marTop w:val="0"/>
              <w:marBottom w:val="0"/>
              <w:divBdr>
                <w:top w:val="single" w:sz="2" w:space="0" w:color="D9D9E3"/>
                <w:left w:val="single" w:sz="2" w:space="0" w:color="D9D9E3"/>
                <w:bottom w:val="single" w:sz="2" w:space="0" w:color="D9D9E3"/>
                <w:right w:val="single" w:sz="2" w:space="0" w:color="D9D9E3"/>
              </w:divBdr>
              <w:divsChild>
                <w:div w:id="896353802">
                  <w:marLeft w:val="0"/>
                  <w:marRight w:val="0"/>
                  <w:marTop w:val="0"/>
                  <w:marBottom w:val="0"/>
                  <w:divBdr>
                    <w:top w:val="single" w:sz="2" w:space="0" w:color="D9D9E3"/>
                    <w:left w:val="single" w:sz="2" w:space="0" w:color="D9D9E3"/>
                    <w:bottom w:val="single" w:sz="2" w:space="0" w:color="D9D9E3"/>
                    <w:right w:val="single" w:sz="2" w:space="0" w:color="D9D9E3"/>
                  </w:divBdr>
                  <w:divsChild>
                    <w:div w:id="1105733766">
                      <w:marLeft w:val="0"/>
                      <w:marRight w:val="0"/>
                      <w:marTop w:val="0"/>
                      <w:marBottom w:val="0"/>
                      <w:divBdr>
                        <w:top w:val="single" w:sz="2" w:space="0" w:color="D9D9E3"/>
                        <w:left w:val="single" w:sz="2" w:space="0" w:color="D9D9E3"/>
                        <w:bottom w:val="single" w:sz="2" w:space="0" w:color="D9D9E3"/>
                        <w:right w:val="single" w:sz="2" w:space="0" w:color="D9D9E3"/>
                      </w:divBdr>
                      <w:divsChild>
                        <w:div w:id="871577899">
                          <w:marLeft w:val="0"/>
                          <w:marRight w:val="0"/>
                          <w:marTop w:val="0"/>
                          <w:marBottom w:val="0"/>
                          <w:divBdr>
                            <w:top w:val="single" w:sz="2" w:space="0" w:color="auto"/>
                            <w:left w:val="single" w:sz="2" w:space="0" w:color="auto"/>
                            <w:bottom w:val="single" w:sz="6" w:space="0" w:color="auto"/>
                            <w:right w:val="single" w:sz="2" w:space="0" w:color="auto"/>
                          </w:divBdr>
                          <w:divsChild>
                            <w:div w:id="8241301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7107369">
                                  <w:marLeft w:val="0"/>
                                  <w:marRight w:val="0"/>
                                  <w:marTop w:val="0"/>
                                  <w:marBottom w:val="0"/>
                                  <w:divBdr>
                                    <w:top w:val="single" w:sz="2" w:space="0" w:color="D9D9E3"/>
                                    <w:left w:val="single" w:sz="2" w:space="0" w:color="D9D9E3"/>
                                    <w:bottom w:val="single" w:sz="2" w:space="0" w:color="D9D9E3"/>
                                    <w:right w:val="single" w:sz="2" w:space="0" w:color="D9D9E3"/>
                                  </w:divBdr>
                                  <w:divsChild>
                                    <w:div w:id="450635592">
                                      <w:marLeft w:val="0"/>
                                      <w:marRight w:val="0"/>
                                      <w:marTop w:val="0"/>
                                      <w:marBottom w:val="0"/>
                                      <w:divBdr>
                                        <w:top w:val="single" w:sz="2" w:space="0" w:color="D9D9E3"/>
                                        <w:left w:val="single" w:sz="2" w:space="0" w:color="D9D9E3"/>
                                        <w:bottom w:val="single" w:sz="2" w:space="0" w:color="D9D9E3"/>
                                        <w:right w:val="single" w:sz="2" w:space="0" w:color="D9D9E3"/>
                                      </w:divBdr>
                                      <w:divsChild>
                                        <w:div w:id="547761986">
                                          <w:marLeft w:val="0"/>
                                          <w:marRight w:val="0"/>
                                          <w:marTop w:val="0"/>
                                          <w:marBottom w:val="0"/>
                                          <w:divBdr>
                                            <w:top w:val="single" w:sz="2" w:space="0" w:color="D9D9E3"/>
                                            <w:left w:val="single" w:sz="2" w:space="0" w:color="D9D9E3"/>
                                            <w:bottom w:val="single" w:sz="2" w:space="0" w:color="D9D9E3"/>
                                            <w:right w:val="single" w:sz="2" w:space="0" w:color="D9D9E3"/>
                                          </w:divBdr>
                                          <w:divsChild>
                                            <w:div w:id="12872698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58359531">
          <w:marLeft w:val="0"/>
          <w:marRight w:val="0"/>
          <w:marTop w:val="0"/>
          <w:marBottom w:val="0"/>
          <w:divBdr>
            <w:top w:val="none" w:sz="0" w:space="0" w:color="auto"/>
            <w:left w:val="none" w:sz="0" w:space="0" w:color="auto"/>
            <w:bottom w:val="none" w:sz="0" w:space="0" w:color="auto"/>
            <w:right w:val="none" w:sz="0" w:space="0" w:color="auto"/>
          </w:divBdr>
          <w:divsChild>
            <w:div w:id="284774926">
              <w:marLeft w:val="0"/>
              <w:marRight w:val="0"/>
              <w:marTop w:val="0"/>
              <w:marBottom w:val="0"/>
              <w:divBdr>
                <w:top w:val="single" w:sz="2" w:space="0" w:color="D9D9E3"/>
                <w:left w:val="single" w:sz="2" w:space="0" w:color="D9D9E3"/>
                <w:bottom w:val="single" w:sz="2" w:space="0" w:color="D9D9E3"/>
                <w:right w:val="single" w:sz="2" w:space="0" w:color="D9D9E3"/>
              </w:divBdr>
              <w:divsChild>
                <w:div w:id="511148021">
                  <w:marLeft w:val="0"/>
                  <w:marRight w:val="0"/>
                  <w:marTop w:val="0"/>
                  <w:marBottom w:val="0"/>
                  <w:divBdr>
                    <w:top w:val="single" w:sz="2" w:space="0" w:color="D9D9E3"/>
                    <w:left w:val="single" w:sz="2" w:space="0" w:color="D9D9E3"/>
                    <w:bottom w:val="single" w:sz="2" w:space="0" w:color="D9D9E3"/>
                    <w:right w:val="single" w:sz="2" w:space="0" w:color="D9D9E3"/>
                  </w:divBdr>
                  <w:divsChild>
                    <w:div w:id="456416680">
                      <w:marLeft w:val="0"/>
                      <w:marRight w:val="0"/>
                      <w:marTop w:val="0"/>
                      <w:marBottom w:val="0"/>
                      <w:divBdr>
                        <w:top w:val="single" w:sz="2" w:space="0" w:color="D9D9E3"/>
                        <w:left w:val="single" w:sz="2" w:space="0" w:color="D9D9E3"/>
                        <w:bottom w:val="single" w:sz="2" w:space="0" w:color="D9D9E3"/>
                        <w:right w:val="single" w:sz="2" w:space="0" w:color="D9D9E3"/>
                      </w:divBdr>
                      <w:divsChild>
                        <w:div w:id="1748064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40372276">
      <w:bodyDiv w:val="1"/>
      <w:marLeft w:val="0"/>
      <w:marRight w:val="0"/>
      <w:marTop w:val="0"/>
      <w:marBottom w:val="0"/>
      <w:divBdr>
        <w:top w:val="none" w:sz="0" w:space="0" w:color="auto"/>
        <w:left w:val="none" w:sz="0" w:space="0" w:color="auto"/>
        <w:bottom w:val="none" w:sz="0" w:space="0" w:color="auto"/>
        <w:right w:val="none" w:sz="0" w:space="0" w:color="auto"/>
      </w:divBdr>
    </w:div>
    <w:div w:id="1510219020">
      <w:bodyDiv w:val="1"/>
      <w:marLeft w:val="0"/>
      <w:marRight w:val="0"/>
      <w:marTop w:val="0"/>
      <w:marBottom w:val="0"/>
      <w:divBdr>
        <w:top w:val="none" w:sz="0" w:space="0" w:color="auto"/>
        <w:left w:val="none" w:sz="0" w:space="0" w:color="auto"/>
        <w:bottom w:val="none" w:sz="0" w:space="0" w:color="auto"/>
        <w:right w:val="none" w:sz="0" w:space="0" w:color="auto"/>
      </w:divBdr>
      <w:divsChild>
        <w:div w:id="125588263">
          <w:marLeft w:val="720"/>
          <w:marRight w:val="0"/>
          <w:marTop w:val="240"/>
          <w:marBottom w:val="0"/>
          <w:divBdr>
            <w:top w:val="none" w:sz="0" w:space="0" w:color="auto"/>
            <w:left w:val="none" w:sz="0" w:space="0" w:color="auto"/>
            <w:bottom w:val="none" w:sz="0" w:space="0" w:color="auto"/>
            <w:right w:val="none" w:sz="0" w:space="0" w:color="auto"/>
          </w:divBdr>
        </w:div>
        <w:div w:id="967126657">
          <w:marLeft w:val="720"/>
          <w:marRight w:val="0"/>
          <w:marTop w:val="240"/>
          <w:marBottom w:val="0"/>
          <w:divBdr>
            <w:top w:val="none" w:sz="0" w:space="0" w:color="auto"/>
            <w:left w:val="none" w:sz="0" w:space="0" w:color="auto"/>
            <w:bottom w:val="none" w:sz="0" w:space="0" w:color="auto"/>
            <w:right w:val="none" w:sz="0" w:space="0" w:color="auto"/>
          </w:divBdr>
        </w:div>
        <w:div w:id="1069958888">
          <w:marLeft w:val="720"/>
          <w:marRight w:val="0"/>
          <w:marTop w:val="240"/>
          <w:marBottom w:val="0"/>
          <w:divBdr>
            <w:top w:val="none" w:sz="0" w:space="0" w:color="auto"/>
            <w:left w:val="none" w:sz="0" w:space="0" w:color="auto"/>
            <w:bottom w:val="none" w:sz="0" w:space="0" w:color="auto"/>
            <w:right w:val="none" w:sz="0" w:space="0" w:color="auto"/>
          </w:divBdr>
        </w:div>
        <w:div w:id="1373580710">
          <w:marLeft w:val="720"/>
          <w:marRight w:val="0"/>
          <w:marTop w:val="240"/>
          <w:marBottom w:val="0"/>
          <w:divBdr>
            <w:top w:val="none" w:sz="0" w:space="0" w:color="auto"/>
            <w:left w:val="none" w:sz="0" w:space="0" w:color="auto"/>
            <w:bottom w:val="none" w:sz="0" w:space="0" w:color="auto"/>
            <w:right w:val="none" w:sz="0" w:space="0" w:color="auto"/>
          </w:divBdr>
        </w:div>
      </w:divsChild>
    </w:div>
    <w:div w:id="1536767469">
      <w:bodyDiv w:val="1"/>
      <w:marLeft w:val="0"/>
      <w:marRight w:val="0"/>
      <w:marTop w:val="0"/>
      <w:marBottom w:val="0"/>
      <w:divBdr>
        <w:top w:val="none" w:sz="0" w:space="0" w:color="auto"/>
        <w:left w:val="none" w:sz="0" w:space="0" w:color="auto"/>
        <w:bottom w:val="none" w:sz="0" w:space="0" w:color="auto"/>
        <w:right w:val="none" w:sz="0" w:space="0" w:color="auto"/>
      </w:divBdr>
    </w:div>
    <w:div w:id="1663464424">
      <w:bodyDiv w:val="1"/>
      <w:marLeft w:val="0"/>
      <w:marRight w:val="0"/>
      <w:marTop w:val="0"/>
      <w:marBottom w:val="0"/>
      <w:divBdr>
        <w:top w:val="none" w:sz="0" w:space="0" w:color="auto"/>
        <w:left w:val="none" w:sz="0" w:space="0" w:color="auto"/>
        <w:bottom w:val="none" w:sz="0" w:space="0" w:color="auto"/>
        <w:right w:val="none" w:sz="0" w:space="0" w:color="auto"/>
      </w:divBdr>
    </w:div>
    <w:div w:id="1670255014">
      <w:bodyDiv w:val="1"/>
      <w:marLeft w:val="0"/>
      <w:marRight w:val="0"/>
      <w:marTop w:val="0"/>
      <w:marBottom w:val="0"/>
      <w:divBdr>
        <w:top w:val="none" w:sz="0" w:space="0" w:color="auto"/>
        <w:left w:val="none" w:sz="0" w:space="0" w:color="auto"/>
        <w:bottom w:val="none" w:sz="0" w:space="0" w:color="auto"/>
        <w:right w:val="none" w:sz="0" w:space="0" w:color="auto"/>
      </w:divBdr>
    </w:div>
    <w:div w:id="1673795575">
      <w:bodyDiv w:val="1"/>
      <w:marLeft w:val="0"/>
      <w:marRight w:val="0"/>
      <w:marTop w:val="0"/>
      <w:marBottom w:val="0"/>
      <w:divBdr>
        <w:top w:val="none" w:sz="0" w:space="0" w:color="auto"/>
        <w:left w:val="none" w:sz="0" w:space="0" w:color="auto"/>
        <w:bottom w:val="none" w:sz="0" w:space="0" w:color="auto"/>
        <w:right w:val="none" w:sz="0" w:space="0" w:color="auto"/>
      </w:divBdr>
    </w:div>
    <w:div w:id="1687631244">
      <w:bodyDiv w:val="1"/>
      <w:marLeft w:val="0"/>
      <w:marRight w:val="0"/>
      <w:marTop w:val="0"/>
      <w:marBottom w:val="0"/>
      <w:divBdr>
        <w:top w:val="none" w:sz="0" w:space="0" w:color="auto"/>
        <w:left w:val="none" w:sz="0" w:space="0" w:color="auto"/>
        <w:bottom w:val="none" w:sz="0" w:space="0" w:color="auto"/>
        <w:right w:val="none" w:sz="0" w:space="0" w:color="auto"/>
      </w:divBdr>
      <w:divsChild>
        <w:div w:id="291710415">
          <w:marLeft w:val="720"/>
          <w:marRight w:val="0"/>
          <w:marTop w:val="240"/>
          <w:marBottom w:val="0"/>
          <w:divBdr>
            <w:top w:val="none" w:sz="0" w:space="0" w:color="auto"/>
            <w:left w:val="none" w:sz="0" w:space="0" w:color="auto"/>
            <w:bottom w:val="none" w:sz="0" w:space="0" w:color="auto"/>
            <w:right w:val="none" w:sz="0" w:space="0" w:color="auto"/>
          </w:divBdr>
        </w:div>
        <w:div w:id="365447157">
          <w:marLeft w:val="720"/>
          <w:marRight w:val="0"/>
          <w:marTop w:val="240"/>
          <w:marBottom w:val="0"/>
          <w:divBdr>
            <w:top w:val="none" w:sz="0" w:space="0" w:color="auto"/>
            <w:left w:val="none" w:sz="0" w:space="0" w:color="auto"/>
            <w:bottom w:val="none" w:sz="0" w:space="0" w:color="auto"/>
            <w:right w:val="none" w:sz="0" w:space="0" w:color="auto"/>
          </w:divBdr>
        </w:div>
        <w:div w:id="969673001">
          <w:marLeft w:val="720"/>
          <w:marRight w:val="0"/>
          <w:marTop w:val="240"/>
          <w:marBottom w:val="0"/>
          <w:divBdr>
            <w:top w:val="none" w:sz="0" w:space="0" w:color="auto"/>
            <w:left w:val="none" w:sz="0" w:space="0" w:color="auto"/>
            <w:bottom w:val="none" w:sz="0" w:space="0" w:color="auto"/>
            <w:right w:val="none" w:sz="0" w:space="0" w:color="auto"/>
          </w:divBdr>
        </w:div>
        <w:div w:id="1764376084">
          <w:marLeft w:val="720"/>
          <w:marRight w:val="0"/>
          <w:marTop w:val="240"/>
          <w:marBottom w:val="0"/>
          <w:divBdr>
            <w:top w:val="none" w:sz="0" w:space="0" w:color="auto"/>
            <w:left w:val="none" w:sz="0" w:space="0" w:color="auto"/>
            <w:bottom w:val="none" w:sz="0" w:space="0" w:color="auto"/>
            <w:right w:val="none" w:sz="0" w:space="0" w:color="auto"/>
          </w:divBdr>
        </w:div>
      </w:divsChild>
    </w:div>
    <w:div w:id="1725055991">
      <w:bodyDiv w:val="1"/>
      <w:marLeft w:val="0"/>
      <w:marRight w:val="0"/>
      <w:marTop w:val="0"/>
      <w:marBottom w:val="0"/>
      <w:divBdr>
        <w:top w:val="none" w:sz="0" w:space="0" w:color="auto"/>
        <w:left w:val="none" w:sz="0" w:space="0" w:color="auto"/>
        <w:bottom w:val="none" w:sz="0" w:space="0" w:color="auto"/>
        <w:right w:val="none" w:sz="0" w:space="0" w:color="auto"/>
      </w:divBdr>
    </w:div>
    <w:div w:id="1790080904">
      <w:bodyDiv w:val="1"/>
      <w:marLeft w:val="0"/>
      <w:marRight w:val="0"/>
      <w:marTop w:val="0"/>
      <w:marBottom w:val="0"/>
      <w:divBdr>
        <w:top w:val="none" w:sz="0" w:space="0" w:color="auto"/>
        <w:left w:val="none" w:sz="0" w:space="0" w:color="auto"/>
        <w:bottom w:val="none" w:sz="0" w:space="0" w:color="auto"/>
        <w:right w:val="none" w:sz="0" w:space="0" w:color="auto"/>
      </w:divBdr>
      <w:divsChild>
        <w:div w:id="181013130">
          <w:marLeft w:val="720"/>
          <w:marRight w:val="0"/>
          <w:marTop w:val="240"/>
          <w:marBottom w:val="0"/>
          <w:divBdr>
            <w:top w:val="none" w:sz="0" w:space="0" w:color="auto"/>
            <w:left w:val="none" w:sz="0" w:space="0" w:color="auto"/>
            <w:bottom w:val="none" w:sz="0" w:space="0" w:color="auto"/>
            <w:right w:val="none" w:sz="0" w:space="0" w:color="auto"/>
          </w:divBdr>
        </w:div>
        <w:div w:id="1606228689">
          <w:marLeft w:val="720"/>
          <w:marRight w:val="0"/>
          <w:marTop w:val="240"/>
          <w:marBottom w:val="0"/>
          <w:divBdr>
            <w:top w:val="none" w:sz="0" w:space="0" w:color="auto"/>
            <w:left w:val="none" w:sz="0" w:space="0" w:color="auto"/>
            <w:bottom w:val="none" w:sz="0" w:space="0" w:color="auto"/>
            <w:right w:val="none" w:sz="0" w:space="0" w:color="auto"/>
          </w:divBdr>
        </w:div>
        <w:div w:id="1958104655">
          <w:marLeft w:val="720"/>
          <w:marRight w:val="0"/>
          <w:marTop w:val="240"/>
          <w:marBottom w:val="0"/>
          <w:divBdr>
            <w:top w:val="none" w:sz="0" w:space="0" w:color="auto"/>
            <w:left w:val="none" w:sz="0" w:space="0" w:color="auto"/>
            <w:bottom w:val="none" w:sz="0" w:space="0" w:color="auto"/>
            <w:right w:val="none" w:sz="0" w:space="0" w:color="auto"/>
          </w:divBdr>
        </w:div>
        <w:div w:id="2105029123">
          <w:marLeft w:val="720"/>
          <w:marRight w:val="0"/>
          <w:marTop w:val="240"/>
          <w:marBottom w:val="0"/>
          <w:divBdr>
            <w:top w:val="none" w:sz="0" w:space="0" w:color="auto"/>
            <w:left w:val="none" w:sz="0" w:space="0" w:color="auto"/>
            <w:bottom w:val="none" w:sz="0" w:space="0" w:color="auto"/>
            <w:right w:val="none" w:sz="0" w:space="0" w:color="auto"/>
          </w:divBdr>
        </w:div>
      </w:divsChild>
    </w:div>
    <w:div w:id="1797019568">
      <w:bodyDiv w:val="1"/>
      <w:marLeft w:val="0"/>
      <w:marRight w:val="0"/>
      <w:marTop w:val="0"/>
      <w:marBottom w:val="0"/>
      <w:divBdr>
        <w:top w:val="none" w:sz="0" w:space="0" w:color="auto"/>
        <w:left w:val="none" w:sz="0" w:space="0" w:color="auto"/>
        <w:bottom w:val="none" w:sz="0" w:space="0" w:color="auto"/>
        <w:right w:val="none" w:sz="0" w:space="0" w:color="auto"/>
      </w:divBdr>
    </w:div>
    <w:div w:id="1849171627">
      <w:bodyDiv w:val="1"/>
      <w:marLeft w:val="0"/>
      <w:marRight w:val="0"/>
      <w:marTop w:val="0"/>
      <w:marBottom w:val="0"/>
      <w:divBdr>
        <w:top w:val="none" w:sz="0" w:space="0" w:color="auto"/>
        <w:left w:val="none" w:sz="0" w:space="0" w:color="auto"/>
        <w:bottom w:val="none" w:sz="0" w:space="0" w:color="auto"/>
        <w:right w:val="none" w:sz="0" w:space="0" w:color="auto"/>
      </w:divBdr>
      <w:divsChild>
        <w:div w:id="150030240">
          <w:marLeft w:val="720"/>
          <w:marRight w:val="0"/>
          <w:marTop w:val="240"/>
          <w:marBottom w:val="0"/>
          <w:divBdr>
            <w:top w:val="none" w:sz="0" w:space="0" w:color="auto"/>
            <w:left w:val="none" w:sz="0" w:space="0" w:color="auto"/>
            <w:bottom w:val="none" w:sz="0" w:space="0" w:color="auto"/>
            <w:right w:val="none" w:sz="0" w:space="0" w:color="auto"/>
          </w:divBdr>
        </w:div>
        <w:div w:id="620307266">
          <w:marLeft w:val="720"/>
          <w:marRight w:val="0"/>
          <w:marTop w:val="240"/>
          <w:marBottom w:val="0"/>
          <w:divBdr>
            <w:top w:val="none" w:sz="0" w:space="0" w:color="auto"/>
            <w:left w:val="none" w:sz="0" w:space="0" w:color="auto"/>
            <w:bottom w:val="none" w:sz="0" w:space="0" w:color="auto"/>
            <w:right w:val="none" w:sz="0" w:space="0" w:color="auto"/>
          </w:divBdr>
        </w:div>
        <w:div w:id="1091318438">
          <w:marLeft w:val="720"/>
          <w:marRight w:val="0"/>
          <w:marTop w:val="240"/>
          <w:marBottom w:val="0"/>
          <w:divBdr>
            <w:top w:val="none" w:sz="0" w:space="0" w:color="auto"/>
            <w:left w:val="none" w:sz="0" w:space="0" w:color="auto"/>
            <w:bottom w:val="none" w:sz="0" w:space="0" w:color="auto"/>
            <w:right w:val="none" w:sz="0" w:space="0" w:color="auto"/>
          </w:divBdr>
        </w:div>
        <w:div w:id="1605184384">
          <w:marLeft w:val="720"/>
          <w:marRight w:val="0"/>
          <w:marTop w:val="240"/>
          <w:marBottom w:val="0"/>
          <w:divBdr>
            <w:top w:val="none" w:sz="0" w:space="0" w:color="auto"/>
            <w:left w:val="none" w:sz="0" w:space="0" w:color="auto"/>
            <w:bottom w:val="none" w:sz="0" w:space="0" w:color="auto"/>
            <w:right w:val="none" w:sz="0" w:space="0" w:color="auto"/>
          </w:divBdr>
        </w:div>
      </w:divsChild>
    </w:div>
    <w:div w:id="1883863202">
      <w:bodyDiv w:val="1"/>
      <w:marLeft w:val="0"/>
      <w:marRight w:val="0"/>
      <w:marTop w:val="0"/>
      <w:marBottom w:val="0"/>
      <w:divBdr>
        <w:top w:val="none" w:sz="0" w:space="0" w:color="auto"/>
        <w:left w:val="none" w:sz="0" w:space="0" w:color="auto"/>
        <w:bottom w:val="none" w:sz="0" w:space="0" w:color="auto"/>
        <w:right w:val="none" w:sz="0" w:space="0" w:color="auto"/>
      </w:divBdr>
    </w:div>
    <w:div w:id="1978409701">
      <w:bodyDiv w:val="1"/>
      <w:marLeft w:val="0"/>
      <w:marRight w:val="0"/>
      <w:marTop w:val="0"/>
      <w:marBottom w:val="0"/>
      <w:divBdr>
        <w:top w:val="none" w:sz="0" w:space="0" w:color="auto"/>
        <w:left w:val="none" w:sz="0" w:space="0" w:color="auto"/>
        <w:bottom w:val="none" w:sz="0" w:space="0" w:color="auto"/>
        <w:right w:val="none" w:sz="0" w:space="0" w:color="auto"/>
      </w:divBdr>
      <w:divsChild>
        <w:div w:id="908149357">
          <w:marLeft w:val="0"/>
          <w:marRight w:val="0"/>
          <w:marTop w:val="0"/>
          <w:marBottom w:val="0"/>
          <w:divBdr>
            <w:top w:val="single" w:sz="2" w:space="0" w:color="auto"/>
            <w:left w:val="single" w:sz="2" w:space="0" w:color="auto"/>
            <w:bottom w:val="single" w:sz="6" w:space="0" w:color="auto"/>
            <w:right w:val="single" w:sz="2" w:space="0" w:color="auto"/>
          </w:divBdr>
          <w:divsChild>
            <w:div w:id="218135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195312242">
                  <w:marLeft w:val="0"/>
                  <w:marRight w:val="0"/>
                  <w:marTop w:val="0"/>
                  <w:marBottom w:val="0"/>
                  <w:divBdr>
                    <w:top w:val="single" w:sz="2" w:space="0" w:color="D9D9E3"/>
                    <w:left w:val="single" w:sz="2" w:space="0" w:color="D9D9E3"/>
                    <w:bottom w:val="single" w:sz="2" w:space="0" w:color="D9D9E3"/>
                    <w:right w:val="single" w:sz="2" w:space="0" w:color="D9D9E3"/>
                  </w:divBdr>
                  <w:divsChild>
                    <w:div w:id="677849510">
                      <w:marLeft w:val="0"/>
                      <w:marRight w:val="0"/>
                      <w:marTop w:val="0"/>
                      <w:marBottom w:val="0"/>
                      <w:divBdr>
                        <w:top w:val="single" w:sz="2" w:space="0" w:color="D9D9E3"/>
                        <w:left w:val="single" w:sz="2" w:space="0" w:color="D9D9E3"/>
                        <w:bottom w:val="single" w:sz="2" w:space="0" w:color="D9D9E3"/>
                        <w:right w:val="single" w:sz="2" w:space="0" w:color="D9D9E3"/>
                      </w:divBdr>
                      <w:divsChild>
                        <w:div w:id="1258363113">
                          <w:marLeft w:val="0"/>
                          <w:marRight w:val="0"/>
                          <w:marTop w:val="0"/>
                          <w:marBottom w:val="0"/>
                          <w:divBdr>
                            <w:top w:val="single" w:sz="2" w:space="0" w:color="D9D9E3"/>
                            <w:left w:val="single" w:sz="2" w:space="0" w:color="D9D9E3"/>
                            <w:bottom w:val="single" w:sz="2" w:space="0" w:color="D9D9E3"/>
                            <w:right w:val="single" w:sz="2" w:space="0" w:color="D9D9E3"/>
                          </w:divBdr>
                          <w:divsChild>
                            <w:div w:id="956063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31492232">
      <w:bodyDiv w:val="1"/>
      <w:marLeft w:val="0"/>
      <w:marRight w:val="0"/>
      <w:marTop w:val="0"/>
      <w:marBottom w:val="0"/>
      <w:divBdr>
        <w:top w:val="none" w:sz="0" w:space="0" w:color="auto"/>
        <w:left w:val="none" w:sz="0" w:space="0" w:color="auto"/>
        <w:bottom w:val="none" w:sz="0" w:space="0" w:color="auto"/>
        <w:right w:val="none" w:sz="0" w:space="0" w:color="auto"/>
      </w:divBdr>
    </w:div>
    <w:div w:id="2033611325">
      <w:bodyDiv w:val="1"/>
      <w:marLeft w:val="0"/>
      <w:marRight w:val="0"/>
      <w:marTop w:val="0"/>
      <w:marBottom w:val="0"/>
      <w:divBdr>
        <w:top w:val="none" w:sz="0" w:space="0" w:color="auto"/>
        <w:left w:val="none" w:sz="0" w:space="0" w:color="auto"/>
        <w:bottom w:val="none" w:sz="0" w:space="0" w:color="auto"/>
        <w:right w:val="none" w:sz="0" w:space="0" w:color="auto"/>
      </w:divBdr>
    </w:div>
    <w:div w:id="2116516225">
      <w:bodyDiv w:val="1"/>
      <w:marLeft w:val="0"/>
      <w:marRight w:val="0"/>
      <w:marTop w:val="0"/>
      <w:marBottom w:val="0"/>
      <w:divBdr>
        <w:top w:val="none" w:sz="0" w:space="0" w:color="auto"/>
        <w:left w:val="none" w:sz="0" w:space="0" w:color="auto"/>
        <w:bottom w:val="none" w:sz="0" w:space="0" w:color="auto"/>
        <w:right w:val="none" w:sz="0" w:space="0" w:color="auto"/>
      </w:divBdr>
    </w:div>
    <w:div w:id="213301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greentechmedia.com/articles/read/ferc-orders-grid-operators-to-open-wholesale-markets-to-distributed-energy-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nrel.gov/docs/fy21osti/8016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whats-new/comm-meet/2020/091720/E-1.pdf" TargetMode="External"/><Relationship Id="rId20" Type="http://schemas.openxmlformats.org/officeDocument/2006/relationships/hyperlink" Target="https://www.ferc.gov/media/ferc-order-no-2222-fact-sh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attle.com/wp-content/uploads/2023/10/The-Need-for-Intertie-Optimization-Reducing-Customer-Costs-Improving-Grid-Resilience-and-Encouraging-Interregional-Transmission-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EEPDAYAL\Downloads\tf4533812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31A19B0704EE2A051649B20302BF3"/>
        <w:category>
          <w:name w:val="General"/>
          <w:gallery w:val="placeholder"/>
        </w:category>
        <w:types>
          <w:type w:val="bbPlcHdr"/>
        </w:types>
        <w:behaviors>
          <w:behavior w:val="content"/>
        </w:behaviors>
        <w:guid w:val="{7B022C09-F4FC-474D-A593-E6CD32DCC9CB}"/>
      </w:docPartPr>
      <w:docPartBody>
        <w:p w:rsidR="009406C7" w:rsidRDefault="004866A1" w:rsidP="004866A1">
          <w:pPr>
            <w:pStyle w:val="D2A31A19B0704EE2A051649B20302BF3"/>
          </w:pPr>
          <w:r w:rsidRPr="00706D60">
            <w:t>Introduction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44339C"/>
    <w:lvl w:ilvl="0">
      <w:start w:val="1"/>
      <w:numFmt w:val="bullet"/>
      <w:pStyle w:val="ListBullet"/>
      <w:lvlText w:val=""/>
      <w:lvlJc w:val="left"/>
      <w:pPr>
        <w:tabs>
          <w:tab w:val="num" w:pos="360"/>
        </w:tabs>
        <w:ind w:left="360" w:hanging="360"/>
      </w:pPr>
      <w:rPr>
        <w:rFonts w:ascii="Symbol" w:hAnsi="Symbol" w:hint="default"/>
      </w:rPr>
    </w:lvl>
  </w:abstractNum>
  <w:num w:numId="1" w16cid:durableId="141500657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4F"/>
    <w:rsid w:val="0002733C"/>
    <w:rsid w:val="000B64D6"/>
    <w:rsid w:val="000F018D"/>
    <w:rsid w:val="0026635E"/>
    <w:rsid w:val="003244A5"/>
    <w:rsid w:val="0033440F"/>
    <w:rsid w:val="00363A4F"/>
    <w:rsid w:val="00391624"/>
    <w:rsid w:val="003A4E63"/>
    <w:rsid w:val="003C0472"/>
    <w:rsid w:val="004866A1"/>
    <w:rsid w:val="005568C0"/>
    <w:rsid w:val="00693130"/>
    <w:rsid w:val="006E379D"/>
    <w:rsid w:val="007C387C"/>
    <w:rsid w:val="008979A5"/>
    <w:rsid w:val="008D54E9"/>
    <w:rsid w:val="009406C7"/>
    <w:rsid w:val="00943CB3"/>
    <w:rsid w:val="00A529A9"/>
    <w:rsid w:val="00A97658"/>
    <w:rsid w:val="00B03AB9"/>
    <w:rsid w:val="00B65798"/>
    <w:rsid w:val="00B826A5"/>
    <w:rsid w:val="00BD1874"/>
    <w:rsid w:val="00C2534F"/>
    <w:rsid w:val="00C94160"/>
    <w:rsid w:val="00CB0AA4"/>
    <w:rsid w:val="00D61B44"/>
    <w:rsid w:val="00E03B5A"/>
    <w:rsid w:val="00E30931"/>
    <w:rsid w:val="00E626F4"/>
    <w:rsid w:val="00E93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pPr>
      <w:numPr>
        <w:numId w:val="1"/>
      </w:numPr>
      <w:contextualSpacing/>
      <w:jc w:val="both"/>
    </w:pPr>
    <w:rPr>
      <w:rFonts w:eastAsiaTheme="minorHAnsi"/>
    </w:rPr>
  </w:style>
  <w:style w:type="paragraph" w:customStyle="1" w:styleId="D2A31A19B0704EE2A051649B20302BF3">
    <w:name w:val="D2A31A19B0704EE2A051649B20302BF3"/>
    <w:rsid w:val="00486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hitepaper">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786F4-B754-4304-BC1D-32749421B756}">
  <ds:schemaRefs>
    <ds:schemaRef ds:uri="http://schemas.openxmlformats.org/officeDocument/2006/bibliography"/>
  </ds:schemaRefs>
</ds:datastoreItem>
</file>

<file path=customXml/itemProps2.xml><?xml version="1.0" encoding="utf-8"?>
<ds:datastoreItem xmlns:ds="http://schemas.openxmlformats.org/officeDocument/2006/customXml" ds:itemID="{206976B8-B398-4E0B-A6D7-2BF155EDEBA8}">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9F0803C-BF15-46C7-A351-ADAC5F26F3DE}">
  <ds:schemaRefs>
    <ds:schemaRef ds:uri="http://schemas.microsoft.com/sharepoint/v3/contenttype/forms"/>
  </ds:schemaRefs>
</ds:datastoreItem>
</file>

<file path=customXml/itemProps4.xml><?xml version="1.0" encoding="utf-8"?>
<ds:datastoreItem xmlns:ds="http://schemas.openxmlformats.org/officeDocument/2006/customXml" ds:itemID="{D279876A-F574-487C-80C3-CE81625DC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C:\Users\SANDEEPDAYAL\Downloads\tf45338127_win32.dotx</Template>
  <TotalTime>0</TotalTime>
  <Pages>22</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2023-10-27T09:51:00Z</dcterms:created>
  <dcterms:modified xsi:type="dcterms:W3CDTF">2024-01-26T20:39:00Z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