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81" w:rsidRPr="00744581" w:rsidRDefault="00744581" w:rsidP="00744581">
      <w:pPr>
        <w:spacing w:after="0" w:line="360" w:lineRule="auto"/>
        <w:jc w:val="center"/>
        <w:rPr>
          <w:rFonts w:ascii="Times New Roman" w:hAnsi="Times New Roman" w:cs="Times New Roman"/>
          <w:b/>
        </w:rPr>
      </w:pPr>
      <w:bookmarkStart w:id="0" w:name="_GoBack"/>
      <w:bookmarkEnd w:id="0"/>
      <w:r w:rsidRPr="00744581">
        <w:rPr>
          <w:rFonts w:ascii="Times New Roman" w:hAnsi="Times New Roman" w:cs="Times New Roman"/>
          <w:b/>
        </w:rPr>
        <w:t xml:space="preserve">A PROPOSED ACTION PLAN TO MODERNIZE GENDER, SEX AND SEXUAL ORIENTATION </w:t>
      </w:r>
      <w:r>
        <w:rPr>
          <w:rFonts w:ascii="Times New Roman" w:hAnsi="Times New Roman" w:cs="Times New Roman"/>
          <w:b/>
        </w:rPr>
        <w:t xml:space="preserve">(GSSO) </w:t>
      </w:r>
      <w:r w:rsidRPr="00744581">
        <w:rPr>
          <w:rFonts w:ascii="Times New Roman" w:hAnsi="Times New Roman" w:cs="Times New Roman"/>
          <w:b/>
        </w:rPr>
        <w:t>INFORMATION PRACTICES</w:t>
      </w:r>
    </w:p>
    <w:p w:rsidR="00744581" w:rsidRPr="00744581" w:rsidRDefault="00744581" w:rsidP="00744581">
      <w:pPr>
        <w:spacing w:after="0" w:line="360" w:lineRule="auto"/>
        <w:jc w:val="center"/>
        <w:rPr>
          <w:rFonts w:ascii="Times New Roman" w:hAnsi="Times New Roman" w:cs="Times New Roman"/>
          <w:b/>
        </w:rPr>
      </w:pPr>
      <w:r w:rsidRPr="00744581">
        <w:rPr>
          <w:rFonts w:ascii="Times New Roman" w:hAnsi="Times New Roman" w:cs="Times New Roman"/>
          <w:b/>
        </w:rPr>
        <w:t>IN CANADIAN ELECTRONIC HEALTH RECORD SYSTEMS</w:t>
      </w:r>
    </w:p>
    <w:p w:rsidR="00744581" w:rsidRDefault="00744581" w:rsidP="00F00FD6">
      <w:pPr>
        <w:rPr>
          <w:rFonts w:ascii="Times New Roman" w:hAnsi="Times New Roman" w:cs="Times New Roman"/>
          <w:b/>
        </w:rPr>
      </w:pPr>
    </w:p>
    <w:p w:rsidR="00F00FD6" w:rsidRPr="00F00FD6" w:rsidRDefault="00F00FD6" w:rsidP="00F00FD6">
      <w:pPr>
        <w:rPr>
          <w:rFonts w:ascii="Times New Roman" w:hAnsi="Times New Roman" w:cs="Times New Roman"/>
          <w:b/>
        </w:rPr>
      </w:pPr>
      <w:r w:rsidRPr="00F00FD6">
        <w:rPr>
          <w:rFonts w:ascii="Times New Roman" w:hAnsi="Times New Roman" w:cs="Times New Roman"/>
          <w:b/>
        </w:rPr>
        <w:t xml:space="preserve">Glossary of </w:t>
      </w:r>
      <w:r w:rsidR="00744581">
        <w:rPr>
          <w:rFonts w:ascii="Times New Roman" w:hAnsi="Times New Roman" w:cs="Times New Roman"/>
          <w:b/>
        </w:rPr>
        <w:t>GSSO Concepts/T</w:t>
      </w:r>
      <w:r w:rsidRPr="00F00FD6">
        <w:rPr>
          <w:rFonts w:ascii="Times New Roman" w:hAnsi="Times New Roman" w:cs="Times New Roman"/>
          <w:b/>
        </w:rPr>
        <w:t>erms – As of Dec 17, 2020</w:t>
      </w:r>
    </w:p>
    <w:tbl>
      <w:tblPr>
        <w:tblW w:w="10624" w:type="dxa"/>
        <w:tblBorders>
          <w:top w:val="outset" w:sz="12" w:space="0" w:color="auto"/>
          <w:left w:val="outset" w:sz="12" w:space="0" w:color="auto"/>
          <w:bottom w:val="outset" w:sz="12" w:space="0" w:color="auto"/>
          <w:right w:val="outset" w:sz="12" w:space="0" w:color="auto"/>
        </w:tblBorders>
        <w:tblCellMar>
          <w:top w:w="23" w:type="dxa"/>
          <w:left w:w="23" w:type="dxa"/>
          <w:bottom w:w="23" w:type="dxa"/>
          <w:right w:w="23" w:type="dxa"/>
        </w:tblCellMar>
        <w:tblLook w:val="04A0" w:firstRow="1" w:lastRow="0" w:firstColumn="1" w:lastColumn="0" w:noHBand="0" w:noVBand="1"/>
      </w:tblPr>
      <w:tblGrid>
        <w:gridCol w:w="1246"/>
        <w:gridCol w:w="9378"/>
      </w:tblGrid>
      <w:tr w:rsidR="00F00FD6" w:rsidRPr="008F1E00" w:rsidTr="00F00FD6">
        <w:trPr>
          <w:tblHeader/>
        </w:trPr>
        <w:tc>
          <w:tcPr>
            <w:tcW w:w="1246" w:type="dxa"/>
            <w:tcBorders>
              <w:top w:val="outset" w:sz="6" w:space="0" w:color="auto"/>
              <w:left w:val="outset" w:sz="6" w:space="0" w:color="auto"/>
              <w:bottom w:val="outset" w:sz="6" w:space="0" w:color="auto"/>
              <w:right w:val="outset" w:sz="6" w:space="0" w:color="auto"/>
            </w:tcBorders>
            <w:shd w:val="clear" w:color="auto" w:fill="EEEEEE"/>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Term</w:t>
            </w:r>
          </w:p>
        </w:tc>
        <w:tc>
          <w:tcPr>
            <w:tcW w:w="9378" w:type="dxa"/>
            <w:tcBorders>
              <w:top w:val="outset" w:sz="6" w:space="0" w:color="auto"/>
              <w:left w:val="outset" w:sz="6" w:space="0" w:color="auto"/>
              <w:bottom w:val="outset" w:sz="6" w:space="0" w:color="auto"/>
              <w:right w:val="outset" w:sz="6" w:space="0" w:color="auto"/>
            </w:tcBorders>
            <w:shd w:val="clear" w:color="auto" w:fill="EEEEEE"/>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Definition</w:t>
            </w:r>
          </w:p>
        </w:tc>
      </w:tr>
      <w:tr w:rsidR="00F00FD6" w:rsidRPr="008F1E00" w:rsidTr="00F00FD6">
        <w:tc>
          <w:tcPr>
            <w:tcW w:w="1062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jc w:val="center"/>
              <w:rPr>
                <w:rFonts w:ascii="Times New Roman" w:hAnsi="Times New Roman" w:cs="Times New Roman"/>
                <w:sz w:val="16"/>
                <w:szCs w:val="18"/>
              </w:rPr>
            </w:pPr>
            <w:r w:rsidRPr="008F1E00">
              <w:rPr>
                <w:rFonts w:ascii="Times New Roman" w:hAnsi="Times New Roman" w:cs="Times New Roman"/>
                <w:sz w:val="16"/>
                <w:szCs w:val="18"/>
              </w:rPr>
              <w:t>Gender-related concepts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Administrative 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 recorded on primary official government documents such as birth certificates and passports or on other documents such as health care cards or drivers licenses</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 term used in most existing electronic health record systems that refers to either one’s sex or gender recorded and used for administrative purposes such as billing purposes. Also known as legal gender in some systems. Source – Burgess </w:t>
            </w:r>
            <w:hyperlink r:id="rId7"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Alternating 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The person’s expression alternates between two or more gender expression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Bigender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Referring to a person who identifies as having two genders. GovCanada -</w:t>
            </w:r>
            <w:hyperlink r:id="rId8" w:history="1">
              <w:r w:rsidRPr="008F1E00">
                <w:rPr>
                  <w:rStyle w:val="Hyperlink"/>
                  <w:rFonts w:ascii="Times New Roman" w:hAnsi="Times New Roman" w:cs="Times New Roman"/>
                  <w:sz w:val="16"/>
                  <w:szCs w:val="18"/>
                </w:rPr>
                <w:t>link</w:t>
              </w:r>
            </w:hyperlink>
            <w:r w:rsidRPr="008F1E00">
              <w:rPr>
                <w:rFonts w:ascii="Times New Roman" w:hAnsi="Times New Roman" w:cs="Times New Roman"/>
                <w:sz w:val="16"/>
                <w:szCs w:val="18"/>
              </w:rPr>
              <w:t xml:space="preserve">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Cisgender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People whose current sex and gender identities match the ones they were assigned at birth. Source - Goldman </w:t>
            </w:r>
            <w:hyperlink r:id="rId9"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Demiboy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Also called a demiguy, demiman or demimale, refers to a person who partially, but not wholly, identifies as a man, boy, or otherwise masculine, regardless of their assigned sex at birth. They may or may not identify as another gender in addition to feeling partially a boy or man. GenderWiki -</w:t>
            </w:r>
            <w:hyperlink r:id="rId10"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Demigirl</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Also called demiwoman or a demifemale person, is a gender identity describing someone who partially, but not wholly, identifies as a woman, girl, or otherwise feminine, whatever their assigned sex at birth. They may or may not identify as another gender in addition to feeling partially a girl or woman. GenderWiki -</w:t>
            </w:r>
            <w:hyperlink r:id="rId11"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Female 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This category includes persons whose current gender was reported as female. This includes cisgender and transgender persons who were reported as being female. StatCan -</w:t>
            </w:r>
            <w:hyperlink r:id="rId12"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Feminine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gender expression consistent with socially typical expectations for people assigned female at birth</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pPr>
            <w:r w:rsidRPr="008F1E00">
              <w:rPr>
                <w:rFonts w:ascii="Times New Roman" w:hAnsi="Times New Roman" w:cs="Times New Roman"/>
                <w:sz w:val="16"/>
                <w:szCs w:val="18"/>
              </w:rPr>
              <w:t xml:space="preserve">Refers to the gender that a person internally feels (gender identity) and/or the gender a person expresses (gender expression) in their daily life, including at work, while shopping or accessing other services, in their housing environment, or in the broader community. A person’s current gender may differ from what is typically expected based on the sex a person was assigned at birth and may differ from what is indicated on their current legal documents. A person’s gender may change over time. </w:t>
            </w:r>
            <w:r w:rsidRPr="008F1E00">
              <w:rPr>
                <w:rFonts w:ascii="Times New Roman" w:hAnsi="Times New Roman" w:cs="Times New Roman"/>
                <w:sz w:val="16"/>
                <w:szCs w:val="16"/>
              </w:rPr>
              <w:t>StatCan -</w:t>
            </w:r>
            <w:hyperlink r:id="rId13" w:history="1">
              <w:r w:rsidRPr="008F1E00">
                <w:rPr>
                  <w:rStyle w:val="Hyperlink"/>
                  <w:rFonts w:ascii="Times New Roman" w:hAnsi="Times New Roman" w:cs="Times New Roman"/>
                  <w:sz w:val="16"/>
                  <w:szCs w:val="16"/>
                </w:rPr>
                <w:t>link</w:t>
              </w:r>
            </w:hyperlink>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Source – Goldman et al.</w:t>
            </w:r>
            <w:hyperlink r:id="rId14"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 Diverse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This category includes persons whose current gender was not reported exclusively as male or female. It includes persons who were reported as being unsure of their gender, persons who were reported as both male and female, or neither male nor female</w:t>
            </w:r>
          </w:p>
          <w:p w:rsidR="00F00FD6" w:rsidRPr="008F1E00" w:rsidRDefault="00F00FD6" w:rsidP="00546BEA">
            <w:pPr>
              <w:spacing w:after="0" w:line="240" w:lineRule="auto"/>
              <w:rPr>
                <w:rFonts w:ascii="Times New Roman" w:hAnsi="Times New Roman" w:cs="Times New Roman"/>
                <w:sz w:val="16"/>
                <w:szCs w:val="16"/>
              </w:rPr>
            </w:pPr>
            <w:r w:rsidRPr="008F1E00">
              <w:rPr>
                <w:rFonts w:ascii="Times New Roman" w:hAnsi="Times New Roman" w:cs="Times New Roman"/>
                <w:sz w:val="16"/>
                <w:szCs w:val="18"/>
              </w:rPr>
              <w:t>StatCan -</w:t>
            </w:r>
            <w:hyperlink r:id="rId15" w:history="1">
              <w:r w:rsidRPr="008F1E00">
                <w:rPr>
                  <w:rStyle w:val="Hyperlink"/>
                  <w:rFonts w:ascii="Times New Roman" w:hAnsi="Times New Roman" w:cs="Times New Roman"/>
                  <w:sz w:val="16"/>
                  <w:szCs w:val="18"/>
                </w:rPr>
                <w:t>link</w:t>
              </w:r>
            </w:hyperlink>
            <w:r w:rsidRPr="008F1E00">
              <w:rPr>
                <w:rFonts w:ascii="Times New Roman" w:hAnsi="Times New Roman" w:cs="Times New Roman"/>
                <w:sz w:val="16"/>
                <w:szCs w:val="16"/>
              </w:rPr>
              <w:t xml:space="preserve"> </w:t>
            </w:r>
          </w:p>
          <w:p w:rsidR="00F00FD6" w:rsidRPr="008F1E00" w:rsidRDefault="00F00FD6" w:rsidP="00546BEA">
            <w:pPr>
              <w:spacing w:after="0" w:line="240" w:lineRule="auto"/>
            </w:pPr>
            <w:r w:rsidRPr="008F1E00">
              <w:rPr>
                <w:rFonts w:ascii="Times New Roman" w:hAnsi="Times New Roman" w:cs="Times New Roman"/>
                <w:sz w:val="16"/>
                <w:szCs w:val="16"/>
              </w:rPr>
              <w:t xml:space="preserve">Umbrella term for people who are not cisgender.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 Identity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Each person’s internal and individual experience of gender. It is their sense of being a woman, a man, both, neither or anywhere along the gender spectrum. A person’s gender identity may be the same as or different from their birth-assigned sex. CIHI -</w:t>
            </w:r>
            <w:hyperlink r:id="rId16" w:history="1">
              <w:r w:rsidRPr="008F1E00">
                <w:rPr>
                  <w:rStyle w:val="Hyperlink"/>
                  <w:rFonts w:ascii="Times New Roman" w:hAnsi="Times New Roman" w:cs="Times New Roman"/>
                  <w:sz w:val="16"/>
                  <w:szCs w:val="18"/>
                </w:rPr>
                <w:t>link</w:t>
              </w:r>
            </w:hyperlink>
            <w:r w:rsidRPr="008F1E00">
              <w:rPr>
                <w:rFonts w:ascii="Times New Roman" w:hAnsi="Times New Roman" w:cs="Times New Roman"/>
                <w:sz w:val="16"/>
                <w:szCs w:val="18"/>
              </w:rPr>
              <w:t xml:space="preserve"> (p59)</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person’s internal and deeply-felt sense of being man or woman, both, neither, or somewhere along the gender spectrum</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GovCanada -</w:t>
            </w:r>
            <w:hyperlink r:id="rId17"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Gender-Nonconforming</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The extent to which a person’s gender identity or gender expression differs from what is typically expected for people assigned to a particular sex or gender at birth. Source - Goldman et al. </w:t>
            </w:r>
            <w:hyperlink r:id="rId18"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Genderfluid</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Referring to a person whose gender identity or expression changes or shifts along the gender spectrum. GovCanada -</w:t>
            </w:r>
            <w:hyperlink r:id="rId19" w:history="1">
              <w:r w:rsidRPr="008F1E00">
                <w:rPr>
                  <w:rStyle w:val="Hyperlink"/>
                  <w:rFonts w:ascii="Times New Roman" w:hAnsi="Times New Roman" w:cs="Times New Roman"/>
                  <w:sz w:val="16"/>
                  <w:szCs w:val="18"/>
                </w:rPr>
                <w:t>link</w:t>
              </w:r>
            </w:hyperlink>
            <w:r w:rsidRPr="008F1E00">
              <w:rPr>
                <w:rFonts w:ascii="Times New Roman" w:hAnsi="Times New Roman" w:cs="Times New Roman"/>
                <w:sz w:val="16"/>
                <w:szCs w:val="18"/>
              </w:rPr>
              <w:t xml:space="preserve">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Genderqueer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An umbrella term with a similar meaning to non-binary. It can be used to describe any gender identities other than man and woman, thus outside of the gender binary. GenderWiki -</w:t>
            </w:r>
            <w:hyperlink r:id="rId20"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Legal 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Gender recorded on primary official government documents such as birth certificates and passports. </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Also referred to as Administrative Gender or Sex, and as Recorded sex or gender in the proposed HL7 Gender Harmony Project</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Male 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This category includes persons whose current gender was reported as male. This includes cisgender and transgender persons who were reported as being male. StatCan -</w:t>
            </w:r>
            <w:hyperlink r:id="rId21"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Man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May be a gender identity and a gender expression. Does not require that the person was assigned male at birth.</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Masculine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gender expression consistent with socially typical expectations for people assigned male at birth</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Neutrois, Agender, Genderless</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Can be seen either as a non-binary gender identity, or as a statement of not having a gender identity. Agender people describe themselves as one or more of the following: genderless or lacking gender, gender neutral, neutrois, an unknown or undefinable gender that does not align with any binary or non-binary gender, not having words to fit their gender identity, not knowing nor caring about gender, deciding not to label their gender, identify more as a person than any gender at all.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Nonbinary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Referring to a person whose gender identity does not align with a binary understanding of gender such as man or woman</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GovCanada -</w:t>
            </w:r>
            <w:hyperlink r:id="rId22" w:history="1">
              <w:r w:rsidRPr="008F1E00">
                <w:rPr>
                  <w:rStyle w:val="Hyperlink"/>
                  <w:rFonts w:ascii="Times New Roman" w:hAnsi="Times New Roman" w:cs="Times New Roman"/>
                  <w:sz w:val="16"/>
                  <w:szCs w:val="18"/>
                </w:rPr>
                <w:t>link</w:t>
              </w:r>
            </w:hyperlink>
            <w:r w:rsidRPr="008F1E00">
              <w:rPr>
                <w:rFonts w:ascii="Times New Roman" w:hAnsi="Times New Roman" w:cs="Times New Roman"/>
                <w:sz w:val="16"/>
                <w:szCs w:val="18"/>
              </w:rPr>
              <w:t xml:space="preserve"> </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 identities adopted by people who reject the idea of gender binary. They may identify as partially a man and partially a woman or identify as sometimes a man and sometimes a woman or identity as some gender other than a man or woman, or as not having a gender at all. They most commonly use the pronouns they/them/their instead of he/him/his or she/her/hers. Some nonbinary people consider themselves to be trans or transgender; some do not because they consider transgender to be part of the gender binary. The shorthand NB (pronounced “enby”) is sometimes used as a descriptor for nonbinary people.</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Source - Goldman et al. </w:t>
            </w:r>
            <w:hyperlink r:id="rId23"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Pangender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Referring to a person who identifies as having all the genders culturally available to them. GovCanada -</w:t>
            </w:r>
            <w:hyperlink r:id="rId24" w:history="1">
              <w:r w:rsidRPr="008F1E00">
                <w:rPr>
                  <w:rStyle w:val="Hyperlink"/>
                  <w:rFonts w:ascii="Times New Roman" w:hAnsi="Times New Roman" w:cs="Times New Roman"/>
                  <w:sz w:val="16"/>
                  <w:szCs w:val="18"/>
                </w:rPr>
                <w:t>link</w:t>
              </w:r>
            </w:hyperlink>
            <w:r w:rsidRPr="008F1E00">
              <w:rPr>
                <w:rFonts w:ascii="Times New Roman" w:hAnsi="Times New Roman" w:cs="Times New Roman"/>
                <w:sz w:val="16"/>
                <w:szCs w:val="18"/>
              </w:rPr>
              <w:t xml:space="preserve">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Polygender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Referring to a person who identifies as having multiple gender identities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Third 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Any gender identity other than man or woman.</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lastRenderedPageBreak/>
              <w:t>Transfeminine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Anyone who was assigned male at birth and identifies more as a woman than as a man. Transfeminine people may identify as trans women, as nonbinary, as Two-Spirit, or as another gender identity. Source – Goldman et al. </w:t>
            </w:r>
            <w:hyperlink r:id="rId25"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Transgender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An umbrella term used to describe people whose gender identities and/or gender expressions are not what is typically expected for the sex and gender to which they were assigned at birth. Some nonbinary people identify as transgender and some do not.</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Source – Goldman et al. </w:t>
            </w:r>
            <w:hyperlink r:id="rId26"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Transgender Man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Individuals who were assigned female at birth and who have gender identities as men. They may or may not have undergone any transition. Source – Goldman et al. </w:t>
            </w:r>
            <w:hyperlink r:id="rId27"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Transgender Woman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Individuals who were assigned male at birth and who have gender identities as women. They may or may not have undergone any transition. Source – Goldman et al. </w:t>
            </w:r>
            <w:hyperlink r:id="rId28"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Transmasculine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Anyone who was assigned female at birth and identifies more as a man than as a woman. Transmasculine people may identify as trans men, as nonbinary, as Two-Spirit, or another gender identity. Source – Goldman et al. </w:t>
            </w:r>
            <w:hyperlink r:id="rId29"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Two-spirit</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An English-language term adopted by North American Indigenous peoples to communicate a broad range of identities used in indigenous communities. Each indigenous language has its own specific terms and nuanced cultural meanings. Two-Spirit can encompass any kind of gender identity or sexual orientation other than cisgender and heterosexual. Some people identify only as Two-Spirit. Some people identify as Two-Spirit and lesbian, or gay, or bisexual, or trans, or nonbinary. Only indigenous people should call themselves Two-Spirit. Source - Goldman et al. </w:t>
            </w:r>
            <w:hyperlink r:id="rId30" w:history="1">
              <w:r w:rsidRPr="008F1E00">
                <w:rPr>
                  <w:rStyle w:val="Hyperlink"/>
                  <w:rFonts w:ascii="Times New Roman" w:hAnsi="Times New Roman" w:cs="Times New Roman"/>
                  <w:sz w:val="16"/>
                  <w:szCs w:val="18"/>
                </w:rPr>
                <w:t xml:space="preserve"> 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Woman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May be a gender identity and a gender expression. Does not require that the person was assigned female at birth.</w:t>
            </w:r>
          </w:p>
        </w:tc>
      </w:tr>
      <w:tr w:rsidR="00F00FD6" w:rsidRPr="008F1E00" w:rsidTr="00F00FD6">
        <w:tc>
          <w:tcPr>
            <w:tcW w:w="1062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jc w:val="center"/>
              <w:rPr>
                <w:rFonts w:ascii="Times New Roman" w:hAnsi="Times New Roman" w:cs="Times New Roman"/>
                <w:sz w:val="16"/>
                <w:szCs w:val="18"/>
              </w:rPr>
            </w:pPr>
            <w:r w:rsidRPr="008F1E00">
              <w:rPr>
                <w:rFonts w:ascii="Times New Roman" w:hAnsi="Times New Roman" w:cs="Times New Roman"/>
                <w:sz w:val="16"/>
                <w:szCs w:val="18"/>
              </w:rPr>
              <w:t>Pronouns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Gender Pronoun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personal pronoun chosen by a person that matches their gender identity. GovCanada -</w:t>
            </w:r>
            <w:hyperlink r:id="rId31"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He/Him/His</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This pronoun is traditionally masculine and used to refer to people who identify as men. Gender Wiki - </w:t>
            </w:r>
            <w:hyperlink r:id="rId32"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She/Her/Hers</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This pronoun is traditionally feminine and used to refer to people who identify as women. Gender Wiki - </w:t>
            </w:r>
            <w:hyperlink r:id="rId33"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They/Them/Theirs</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Commonly used as a third-person singular or plural pronoun by people who identify as nonbinary. </w:t>
            </w:r>
          </w:p>
        </w:tc>
      </w:tr>
      <w:tr w:rsidR="00F00FD6" w:rsidRPr="008F1E00" w:rsidTr="00F00FD6">
        <w:tc>
          <w:tcPr>
            <w:tcW w:w="1062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jc w:val="center"/>
              <w:rPr>
                <w:rFonts w:ascii="Times New Roman" w:hAnsi="Times New Roman" w:cs="Times New Roman"/>
                <w:sz w:val="16"/>
                <w:szCs w:val="18"/>
              </w:rPr>
            </w:pPr>
            <w:r w:rsidRPr="008F1E00">
              <w:rPr>
                <w:rFonts w:ascii="Times New Roman" w:hAnsi="Times New Roman" w:cs="Times New Roman"/>
                <w:sz w:val="16"/>
                <w:szCs w:val="18"/>
              </w:rPr>
              <w:t>Sex-related concepts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Legal sex</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 as defined by legal documents, such as birth certificate, passport, driver’s license or health care card. Source – Goldstein et al.</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Female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This category includes persons who were reported as being of female sex.  </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Binary category of sex defined by XX chromosomal, and gonadal and anatomic characteristics typically associated with XX chromosomes. Source – Madsen </w:t>
            </w:r>
            <w:hyperlink r:id="rId34"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Intersex</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 term that describes a person whose primary sex characteristics at birth do not meet the medical criteria of the male or female sex. </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Refers to variations in the development of sex characteristics, such as reproductive anatomy, sex chromosomes, or sex-related hormones that is not consistent with typical/medical definition of male or female. </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Note: Some existing systems used the terms indeterminate and/or undifferentiated but it is not clear if they have the same meaning</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Male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This category includes persons who were reported as being of male sex.  </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Binary category of sex defined by XY chromosomal, and gonadal and anatomic characteristics typically associated with XY chromosomes. Source – Madsen </w:t>
            </w:r>
            <w:hyperlink r:id="rId35"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person’s status as male, female, or intersex based on biologic and physiologic characteristics. Sexes are usually assigned at birth based on simple visual inspection of the genitals of a newborn baby.  Source – Goldman et al.</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 assigned at birth</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Sex assigned and recorded at birth, usually based on simple visual inspection of genitals of a newborn baby. Also known as birth sex. Source – Goldman et al. </w:t>
            </w:r>
            <w:hyperlink r:id="rId36" w:history="1">
              <w:r w:rsidRPr="008F1E00">
                <w:rPr>
                  <w:rStyle w:val="Hyperlink"/>
                  <w:rFonts w:ascii="Times New Roman" w:hAnsi="Times New Roman" w:cs="Times New Roman"/>
                  <w:sz w:val="16"/>
                  <w:szCs w:val="18"/>
                </w:rPr>
                <w:t xml:space="preserve"> link</w:t>
              </w:r>
            </w:hyperlink>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Note- The designation of male or female can reinforce sex being viewed as a binary rather than acknowledging variations in sex characteristics -</w:t>
            </w:r>
            <w:hyperlink r:id="rId37"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 Unknown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The person’s sex at birth was not recorded. </w:t>
            </w:r>
          </w:p>
        </w:tc>
      </w:tr>
      <w:tr w:rsidR="00F00FD6" w:rsidRPr="008F1E00" w:rsidTr="00F00FD6">
        <w:tc>
          <w:tcPr>
            <w:tcW w:w="1062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jc w:val="center"/>
              <w:rPr>
                <w:rFonts w:ascii="Times New Roman" w:hAnsi="Times New Roman" w:cs="Times New Roman"/>
                <w:sz w:val="16"/>
                <w:szCs w:val="18"/>
              </w:rPr>
            </w:pPr>
            <w:r w:rsidRPr="008F1E00">
              <w:rPr>
                <w:rFonts w:ascii="Times New Roman" w:hAnsi="Times New Roman" w:cs="Times New Roman"/>
                <w:sz w:val="16"/>
                <w:szCs w:val="18"/>
              </w:rPr>
              <w:t>Inventory-related concepts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Anatomical Inventory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Anatomical inventory allows providers to record into the chart (and/or updated as needed) the organs each patient has at any point in time; this inventory would then drive individualized auto-population of history and physical exam templates. Source Deutsch- </w:t>
            </w:r>
            <w:hyperlink r:id="rId38"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Chest reconstruction surgery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Surgical procedures to create a masculine chest for a transmasculine person.</w:t>
            </w:r>
          </w:p>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This surgery could also include breast reductions.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Facial gender affirmation surgery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combination of surgical procedures to alter the appearance of a person’s face to make it look more congruent with their gender identity.</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Hormone Inventory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An accurate record of what hormones a patient may or may not have. May include estrogen, FSH, testosterone, among others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Labiaplasty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Surgery that involves creating or modifying the labia minora (inner lips), and/or the labia majora (outer lips). Also known as vaginal rejuvenation when done for cosmetic purposes.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072039">
              <w:rPr>
                <w:rFonts w:ascii="Times New Roman" w:hAnsi="Times New Roman" w:cs="Times New Roman"/>
                <w:sz w:val="16"/>
                <w:szCs w:val="18"/>
              </w:rPr>
              <w:t>Metoidioplasty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4869C5">
              <w:rPr>
                <w:rFonts w:ascii="Times New Roman" w:hAnsi="Times New Roman" w:cs="Times New Roman"/>
                <w:sz w:val="16"/>
                <w:szCs w:val="18"/>
              </w:rPr>
              <w:t>Metoidioplasty</w:t>
            </w:r>
            <w:r w:rsidRPr="008F1E00">
              <w:rPr>
                <w:rFonts w:ascii="Times New Roman" w:hAnsi="Times New Roman" w:cs="Times New Roman"/>
                <w:sz w:val="16"/>
                <w:szCs w:val="18"/>
              </w:rPr>
              <w:t>, also known as meta, is a term used to describe surgical procedures for transmasculine individuals that fashion a small phallus from testosterone-enhanced clitoral tissues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Phalloplasty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Surgery that creates a penis. Can be combined with scrotoplasty, testicular implants and erectile implants.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[GSSO] Surgical Inventory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[GSSO] surgical inventory contains common treatments and procedures which may not be listed in current systems but should be included in the medical or surgical history of transgender patients. Source Deutsch- </w:t>
            </w:r>
            <w:hyperlink r:id="rId39" w:history="1">
              <w:r w:rsidRPr="008F1E00">
                <w:rPr>
                  <w:rStyle w:val="Hyperlink"/>
                  <w:rFonts w:ascii="Times New Roman" w:hAnsi="Times New Roman" w:cs="Times New Roman"/>
                  <w:sz w:val="16"/>
                  <w:szCs w:val="18"/>
                </w:rPr>
                <w:t>link</w:t>
              </w:r>
            </w:hyperlink>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Vaginoplasty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Surgery that creates a vagina. May be combined with vulvoplasty.</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Vulvoplasty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surgery that creates the vulva (including mons, labia, clitoris, and urethral opening)</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X</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Government-issued identification documents such as health card, birth certificate, passport, or driver’s license has an X in the sex and/or gender field. Used by people who do not identify as solely male or female or by people who do not want a specific gender marker to be visible on their identification.</w:t>
            </w:r>
          </w:p>
          <w:p w:rsidR="00F00FD6" w:rsidRPr="008F1E00" w:rsidRDefault="00F00FD6" w:rsidP="00546BEA">
            <w:pPr>
              <w:spacing w:after="0" w:line="240" w:lineRule="auto"/>
              <w:rPr>
                <w:rFonts w:ascii="Times New Roman" w:hAnsi="Times New Roman" w:cs="Times New Roman"/>
                <w:sz w:val="16"/>
                <w:szCs w:val="18"/>
              </w:rPr>
            </w:pPr>
          </w:p>
        </w:tc>
      </w:tr>
      <w:tr w:rsidR="00F00FD6" w:rsidRPr="008F1E00" w:rsidTr="00F00FD6">
        <w:tc>
          <w:tcPr>
            <w:tcW w:w="1062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00FD6" w:rsidRPr="008F1E00" w:rsidRDefault="00F00FD6" w:rsidP="00546BEA">
            <w:pPr>
              <w:spacing w:after="0" w:line="240" w:lineRule="auto"/>
              <w:jc w:val="center"/>
              <w:rPr>
                <w:rFonts w:ascii="Times New Roman" w:hAnsi="Times New Roman" w:cs="Times New Roman"/>
                <w:sz w:val="16"/>
                <w:szCs w:val="18"/>
              </w:rPr>
            </w:pPr>
            <w:r w:rsidRPr="008F1E00">
              <w:rPr>
                <w:rFonts w:ascii="Times New Roman" w:hAnsi="Times New Roman" w:cs="Times New Roman"/>
                <w:sz w:val="16"/>
                <w:szCs w:val="18"/>
              </w:rPr>
              <w:lastRenderedPageBreak/>
              <w:t>Sexual orientation-related concepts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Anal</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Sexual activity involving the anus</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Asexual</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 person who feels little to no sexual attraction</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Bisexual</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Refers to a person of one binary gender who is sexually or romantically attracted to those of the same binary gender and also to those of the other binary gender.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Blood</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Sexual activity involving blood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Bondage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Sexual activity involving physically restraining a body, most commonly using rope, tape, or handcuffs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Discipline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Sexual activity involving controlling another’s actions.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Dominant</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 dominant person in bondage and discipline, sado-masochistic sexual practices. Also called a dom, domme, or top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Fisting</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Sexual activity involving insertion of fists into anus or vagina</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Gay</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Refers to a person who identifies as one binary gender and is sexually or romantically attracted mainly to people of the same binary gender. This term is used to refer to both men and women, but is used primarily to refer to men.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Heterosexual</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Refers to a person who identifies as one binary gender and is mainly attracted to people of the other binary gender.</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Kink</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An umbrella term for a wide range of paraphilias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Lesbian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Refers to a person who identifies as a woman and is sexually or romantically attracted mainly to women.</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Polyamorous</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Being sexually or romantically involved with multiple people at the same time. Often shortened to poly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Queer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As an umbrella term, queer is often used to describe any sexuality that is not heterosexual, or any gender that is not cisgender. As a sexual identity, queer refer to any sexuality that is not heterosexual.</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Scat</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Sexual activity involving feces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Sexual Attraction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One’s sexual attraction to self or others, including people, animals, and objects.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Sexual Orientation</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Patterns of sexual attractions, activities, identities.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Sexual Partner</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The people, animals, and objects with which one engages in sexual activities.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Sexual Practice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The sexual practices in which a person engages with their sexual partner(s) or alone</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Submissive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A submissive person in bondage and discipline, sado-masochistic sexual practices. Also called a sub, subbie or bottom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Transamorous</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Being sexually or romantically attracted to trans people </w:t>
            </w:r>
          </w:p>
        </w:tc>
      </w:tr>
      <w:tr w:rsidR="00F00FD6" w:rsidRPr="008F1E00" w:rsidTr="00F00FD6">
        <w:tc>
          <w:tcPr>
            <w:tcW w:w="12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Urine</w:t>
            </w:r>
          </w:p>
        </w:tc>
        <w:tc>
          <w:tcPr>
            <w:tcW w:w="93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0FD6" w:rsidRPr="008F1E00" w:rsidRDefault="00F00FD6" w:rsidP="00546BEA">
            <w:pPr>
              <w:spacing w:after="0" w:line="240" w:lineRule="auto"/>
              <w:rPr>
                <w:rFonts w:ascii="Times New Roman" w:hAnsi="Times New Roman" w:cs="Times New Roman"/>
                <w:sz w:val="16"/>
                <w:szCs w:val="18"/>
              </w:rPr>
            </w:pPr>
            <w:r w:rsidRPr="008F1E00">
              <w:rPr>
                <w:rFonts w:ascii="Times New Roman" w:hAnsi="Times New Roman" w:cs="Times New Roman"/>
                <w:sz w:val="16"/>
                <w:szCs w:val="18"/>
              </w:rPr>
              <w:t xml:space="preserve">Sexual activity involving urine </w:t>
            </w:r>
          </w:p>
        </w:tc>
      </w:tr>
    </w:tbl>
    <w:p w:rsidR="00F00FD6" w:rsidRDefault="00F00FD6"/>
    <w:sectPr w:rsidR="00F00FD6" w:rsidSect="0035396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6B5" w:rsidRDefault="00E706B5" w:rsidP="00F00FD6">
      <w:pPr>
        <w:spacing w:after="0" w:line="240" w:lineRule="auto"/>
      </w:pPr>
      <w:r>
        <w:separator/>
      </w:r>
    </w:p>
  </w:endnote>
  <w:endnote w:type="continuationSeparator" w:id="0">
    <w:p w:rsidR="00E706B5" w:rsidRDefault="00E706B5" w:rsidP="00F0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6B5" w:rsidRDefault="00E706B5" w:rsidP="00F00FD6">
      <w:pPr>
        <w:spacing w:after="0" w:line="240" w:lineRule="auto"/>
      </w:pPr>
      <w:r>
        <w:separator/>
      </w:r>
    </w:p>
  </w:footnote>
  <w:footnote w:type="continuationSeparator" w:id="0">
    <w:p w:rsidR="00E706B5" w:rsidRDefault="00E706B5" w:rsidP="00F00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841"/>
    <w:multiLevelType w:val="hybridMultilevel"/>
    <w:tmpl w:val="A81EFBD2"/>
    <w:lvl w:ilvl="0" w:tplc="CE36A41E">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0E64A0D"/>
    <w:multiLevelType w:val="hybridMultilevel"/>
    <w:tmpl w:val="A380F72A"/>
    <w:lvl w:ilvl="0" w:tplc="C73AB162">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6350189"/>
    <w:multiLevelType w:val="hybridMultilevel"/>
    <w:tmpl w:val="576069BC"/>
    <w:lvl w:ilvl="0" w:tplc="1009000F">
      <w:start w:val="1"/>
      <w:numFmt w:val="decimal"/>
      <w:lvlText w:val="%1."/>
      <w:lvlJc w:val="left"/>
      <w:pPr>
        <w:ind w:left="360" w:hanging="360"/>
      </w:pPr>
    </w:lvl>
    <w:lvl w:ilvl="1" w:tplc="C9D0A3A6">
      <w:start w:val="1"/>
      <w:numFmt w:val="lowerLetter"/>
      <w:lvlText w:val="%2."/>
      <w:lvlJc w:val="left"/>
      <w:pPr>
        <w:ind w:left="1080" w:hanging="360"/>
      </w:pPr>
      <w:rPr>
        <w:color w:val="000000" w:themeColor="text1"/>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60DF1E6C"/>
    <w:multiLevelType w:val="hybridMultilevel"/>
    <w:tmpl w:val="A95EE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65"/>
    <w:rsid w:val="00080183"/>
    <w:rsid w:val="000E6B44"/>
    <w:rsid w:val="00101E5A"/>
    <w:rsid w:val="00192717"/>
    <w:rsid w:val="00295EAB"/>
    <w:rsid w:val="002B6D21"/>
    <w:rsid w:val="00332BA1"/>
    <w:rsid w:val="00353965"/>
    <w:rsid w:val="003561DC"/>
    <w:rsid w:val="003D605F"/>
    <w:rsid w:val="00400436"/>
    <w:rsid w:val="00480CED"/>
    <w:rsid w:val="004F5DCC"/>
    <w:rsid w:val="004F6F30"/>
    <w:rsid w:val="00546BEA"/>
    <w:rsid w:val="005A0FC2"/>
    <w:rsid w:val="005F0567"/>
    <w:rsid w:val="00675C0C"/>
    <w:rsid w:val="00744581"/>
    <w:rsid w:val="00895CF9"/>
    <w:rsid w:val="008D2FD3"/>
    <w:rsid w:val="009150E9"/>
    <w:rsid w:val="00917C22"/>
    <w:rsid w:val="00927EB3"/>
    <w:rsid w:val="00935669"/>
    <w:rsid w:val="00944676"/>
    <w:rsid w:val="00A52096"/>
    <w:rsid w:val="00A914DB"/>
    <w:rsid w:val="00AA5B8A"/>
    <w:rsid w:val="00B52B70"/>
    <w:rsid w:val="00BF6C96"/>
    <w:rsid w:val="00C90BE2"/>
    <w:rsid w:val="00CB046B"/>
    <w:rsid w:val="00CD3602"/>
    <w:rsid w:val="00D46EAE"/>
    <w:rsid w:val="00E5564C"/>
    <w:rsid w:val="00E706B5"/>
    <w:rsid w:val="00E807C8"/>
    <w:rsid w:val="00E86F0D"/>
    <w:rsid w:val="00F00FD6"/>
    <w:rsid w:val="00F04179"/>
    <w:rsid w:val="00F73A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3EDB6-E60B-4CC6-9321-C0B562EA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Vic List Paragraph"/>
    <w:basedOn w:val="Normal"/>
    <w:link w:val="ListParagraphChar"/>
    <w:uiPriority w:val="72"/>
    <w:qFormat/>
    <w:rsid w:val="00F04179"/>
    <w:pPr>
      <w:spacing w:after="120" w:line="264" w:lineRule="auto"/>
      <w:ind w:left="720"/>
      <w:contextualSpacing/>
    </w:pPr>
    <w:rPr>
      <w:rFonts w:eastAsiaTheme="minorEastAsia"/>
      <w:sz w:val="21"/>
      <w:szCs w:val="21"/>
    </w:rPr>
  </w:style>
  <w:style w:type="character" w:customStyle="1" w:styleId="ListParagraphChar">
    <w:name w:val="List Paragraph Char"/>
    <w:aliases w:val="UVic List Paragraph Char"/>
    <w:basedOn w:val="DefaultParagraphFont"/>
    <w:link w:val="ListParagraph"/>
    <w:uiPriority w:val="34"/>
    <w:rsid w:val="00F04179"/>
    <w:rPr>
      <w:rFonts w:eastAsiaTheme="minorEastAsia"/>
      <w:sz w:val="21"/>
      <w:szCs w:val="21"/>
    </w:rPr>
  </w:style>
  <w:style w:type="character" w:styleId="Hyperlink">
    <w:name w:val="Hyperlink"/>
    <w:basedOn w:val="DefaultParagraphFont"/>
    <w:uiPriority w:val="99"/>
    <w:unhideWhenUsed/>
    <w:rsid w:val="00BF6C96"/>
    <w:rPr>
      <w:color w:val="0000FF"/>
      <w:u w:val="single"/>
    </w:rPr>
  </w:style>
  <w:style w:type="character" w:styleId="FollowedHyperlink">
    <w:name w:val="FollowedHyperlink"/>
    <w:basedOn w:val="DefaultParagraphFont"/>
    <w:uiPriority w:val="99"/>
    <w:semiHidden/>
    <w:unhideWhenUsed/>
    <w:rsid w:val="00BF6C96"/>
    <w:rPr>
      <w:color w:val="954F72" w:themeColor="followedHyperlink"/>
      <w:u w:val="single"/>
    </w:rPr>
  </w:style>
  <w:style w:type="paragraph" w:styleId="FootnoteText">
    <w:name w:val="footnote text"/>
    <w:basedOn w:val="Normal"/>
    <w:link w:val="FootnoteTextChar"/>
    <w:uiPriority w:val="99"/>
    <w:semiHidden/>
    <w:unhideWhenUsed/>
    <w:rsid w:val="00F00FD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00FD6"/>
    <w:rPr>
      <w:rFonts w:eastAsiaTheme="minorEastAsia"/>
      <w:sz w:val="20"/>
      <w:szCs w:val="20"/>
    </w:rPr>
  </w:style>
  <w:style w:type="character" w:styleId="FootnoteReference">
    <w:name w:val="footnote reference"/>
    <w:basedOn w:val="DefaultParagraphFont"/>
    <w:uiPriority w:val="99"/>
    <w:semiHidden/>
    <w:unhideWhenUsed/>
    <w:rsid w:val="00F00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3.statcan.gc.ca/imdb/p3Var.pl?Function=DEC&amp;Id=410445" TargetMode="External"/><Relationship Id="rId18" Type="http://schemas.openxmlformats.org/officeDocument/2006/relationships/hyperlink" Target="https://onlineacademiccommunity.uvic.ca/ahdevor/wp-content/uploads/sites/2247/2020/05/Trans-people-and-blood-donation.pdf" TargetMode="External"/><Relationship Id="rId26" Type="http://schemas.openxmlformats.org/officeDocument/2006/relationships/hyperlink" Target="https://onlineacademiccommunity.uvic.ca/ahdevor/wp-content/uploads/sites/2247/2020/05/Trans-people-and-blood-donation.pdf" TargetMode="External"/><Relationship Id="rId39" Type="http://schemas.openxmlformats.org/officeDocument/2006/relationships/hyperlink" Target="https://academic.oup.com/jamia/article/20/4/700/2909343" TargetMode="External"/><Relationship Id="rId21" Type="http://schemas.openxmlformats.org/officeDocument/2006/relationships/hyperlink" Target="https://www23.statcan.gc.ca/imdb/p3VD.pl?Function=getVD&amp;TVD=467245&amp;CVD=467245&amp;CLV=0&amp;MLV=1&amp;D=1" TargetMode="External"/><Relationship Id="rId34" Type="http://schemas.openxmlformats.org/officeDocument/2006/relationships/hyperlink" Target="https://journals.sagepub.com/doi/pdf/10.1089/gg.2017.0005" TargetMode="External"/><Relationship Id="rId7" Type="http://schemas.openxmlformats.org/officeDocument/2006/relationships/hyperlink" Target="https://www.ncbi.nlm.nih.gov/pmc/articles/PMC6590954/" TargetMode="External"/><Relationship Id="rId2" Type="http://schemas.openxmlformats.org/officeDocument/2006/relationships/styles" Target="styles.xml"/><Relationship Id="rId16" Type="http://schemas.openxmlformats.org/officeDocument/2006/relationships/hyperlink" Target="https://www.cihi.ca/sites/default/files/document/crdm-toolkit-2019-en-web.pdf" TargetMode="External"/><Relationship Id="rId20" Type="http://schemas.openxmlformats.org/officeDocument/2006/relationships/hyperlink" Target="https://gender.wikia.org/wiki/Genderqueer" TargetMode="External"/><Relationship Id="rId29" Type="http://schemas.openxmlformats.org/officeDocument/2006/relationships/hyperlink" Target="https://onlineacademiccommunity.uvic.ca/ahdevor/wp-content/uploads/sites/2247/2020/05/Trans-people-and-blood-donation.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nder.wikia.org/wiki/Demigirl" TargetMode="External"/><Relationship Id="rId24" Type="http://schemas.openxmlformats.org/officeDocument/2006/relationships/hyperlink" Target="https://www.btb.termiumplus.gc.ca/publications/diversite-diversity-eng.html" TargetMode="External"/><Relationship Id="rId32" Type="http://schemas.openxmlformats.org/officeDocument/2006/relationships/hyperlink" Target="https://gender.wikia.org/wiki/Pronouns" TargetMode="External"/><Relationship Id="rId37" Type="http://schemas.openxmlformats.org/officeDocument/2006/relationships/hyperlink" Target="https://ccgsd-ccdgs.org/medicine-vs-interse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23.statcan.gc.ca/imdb/p3VD.pl?Function=getVD&amp;TVD=467245&amp;CVD=467245&amp;CLV=0&amp;MLV=1&amp;D=1" TargetMode="External"/><Relationship Id="rId23" Type="http://schemas.openxmlformats.org/officeDocument/2006/relationships/hyperlink" Target="https://onlineacademiccommunity.uvic.ca/ahdevor/wp-content/uploads/sites/2247/2020/05/Trans-people-and-blood-donation.pdf" TargetMode="External"/><Relationship Id="rId28" Type="http://schemas.openxmlformats.org/officeDocument/2006/relationships/hyperlink" Target="https://onlineacademiccommunity.uvic.ca/ahdevor/wp-content/uploads/sites/2247/2020/05/Trans-people-and-blood-donation.pdf" TargetMode="External"/><Relationship Id="rId36" Type="http://schemas.openxmlformats.org/officeDocument/2006/relationships/hyperlink" Target="https://onlineacademiccommunity.uvic.ca/ahdevor/wp-content/uploads/sites/2247/2020/05/Trans-people-and-blood-donation.pdf" TargetMode="External"/><Relationship Id="rId10" Type="http://schemas.openxmlformats.org/officeDocument/2006/relationships/hyperlink" Target="https://gender.wikia.org/wiki/Demiguy" TargetMode="External"/><Relationship Id="rId19" Type="http://schemas.openxmlformats.org/officeDocument/2006/relationships/hyperlink" Target="https://www.btb.termiumplus.gc.ca/publications/diversite-diversity-eng.html" TargetMode="External"/><Relationship Id="rId31" Type="http://schemas.openxmlformats.org/officeDocument/2006/relationships/hyperlink" Target="https://www.btb.termiumplus.gc.ca/publications/diversite-diversity-eng.html" TargetMode="External"/><Relationship Id="rId4" Type="http://schemas.openxmlformats.org/officeDocument/2006/relationships/webSettings" Target="webSettings.xml"/><Relationship Id="rId9" Type="http://schemas.openxmlformats.org/officeDocument/2006/relationships/hyperlink" Target="https://onlineacademiccommunity.uvic.ca/ahdevor/wp-content/uploads/sites/2247/2020/05/Trans-people-and-blood-donation.pdf" TargetMode="External"/><Relationship Id="rId14" Type="http://schemas.openxmlformats.org/officeDocument/2006/relationships/hyperlink" Target="https://onlineacademiccommunity.uvic.ca/ahdevor/wp-content/uploads/sites/2247/2020/05/Trans-people-and-blood-donation.pdf" TargetMode="External"/><Relationship Id="rId22" Type="http://schemas.openxmlformats.org/officeDocument/2006/relationships/hyperlink" Target="https://www.btb.termiumplus.gc.ca/publications/diversite-diversity-eng.html" TargetMode="External"/><Relationship Id="rId27" Type="http://schemas.openxmlformats.org/officeDocument/2006/relationships/hyperlink" Target="https://onlineacademiccommunity.uvic.ca/ahdevor/wp-content/uploads/sites/2247/2020/05/Trans-people-and-blood-donation.pdf" TargetMode="External"/><Relationship Id="rId30" Type="http://schemas.openxmlformats.org/officeDocument/2006/relationships/hyperlink" Target="https://onlineacademiccommunity.uvic.ca/ahdevor/wp-content/uploads/sites/2247/2020/05/Trans-people-and-blood-donation.pdf" TargetMode="External"/><Relationship Id="rId35" Type="http://schemas.openxmlformats.org/officeDocument/2006/relationships/hyperlink" Target="https://journals.sagepub.com/doi/pdf/10.1089/gg.2017.0005" TargetMode="External"/><Relationship Id="rId8" Type="http://schemas.openxmlformats.org/officeDocument/2006/relationships/hyperlink" Target="https://www.btb.termiumplus.gc.ca/publications/diversite-diversity-eng.html" TargetMode="External"/><Relationship Id="rId3" Type="http://schemas.openxmlformats.org/officeDocument/2006/relationships/settings" Target="settings.xml"/><Relationship Id="rId12" Type="http://schemas.openxmlformats.org/officeDocument/2006/relationships/hyperlink" Target="https://www23.statcan.gc.ca/imdb/p3VD.pl?Function=getVD&amp;TVD=467245&amp;CVD=467245&amp;CLV=0&amp;MLV=1&amp;D=1" TargetMode="External"/><Relationship Id="rId17" Type="http://schemas.openxmlformats.org/officeDocument/2006/relationships/hyperlink" Target="https://www.btb.termiumplus.gc.ca/publications/diversite-diversity-eng.html" TargetMode="External"/><Relationship Id="rId25" Type="http://schemas.openxmlformats.org/officeDocument/2006/relationships/hyperlink" Target="https://onlineacademiccommunity.uvic.ca/ahdevor/wp-content/uploads/sites/2247/2020/05/Trans-people-and-blood-donation.pdf" TargetMode="External"/><Relationship Id="rId33" Type="http://schemas.openxmlformats.org/officeDocument/2006/relationships/hyperlink" Target="https://gender.wikia.org/wiki/Pronouns" TargetMode="External"/><Relationship Id="rId38" Type="http://schemas.openxmlformats.org/officeDocument/2006/relationships/hyperlink" Target="https://academic.oup.com/jamia/article/20/4/700/290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fylau</dc:creator>
  <cp:keywords/>
  <dc:description/>
  <cp:lastModifiedBy>Karen Courtney</cp:lastModifiedBy>
  <cp:revision>2</cp:revision>
  <dcterms:created xsi:type="dcterms:W3CDTF">2021-05-11T22:16:00Z</dcterms:created>
  <dcterms:modified xsi:type="dcterms:W3CDTF">2021-05-11T22:16:00Z</dcterms:modified>
</cp:coreProperties>
</file>